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54B7C63D" w:rsidR="00DD5137" w:rsidRPr="00E87498" w:rsidRDefault="004B3505" w:rsidP="00E87498">
      <w:pPr>
        <w:spacing w:before="40" w:after="120"/>
        <w:jc w:val="center"/>
        <w:rPr>
          <w:rFonts w:ascii="Arial" w:hAnsi="Arial" w:cs="Arial"/>
          <w:b/>
          <w:bCs/>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E87498">
        <w:rPr>
          <w:rFonts w:ascii="Arial" w:hAnsi="Arial" w:cs="Arial"/>
          <w:b/>
          <w:bCs/>
          <w:i/>
          <w:color w:val="000000" w:themeColor="text1"/>
          <w:sz w:val="22"/>
          <w:szCs w:val="22"/>
        </w:rPr>
        <w:t>Acthar</w:t>
      </w:r>
      <w:r w:rsidR="007E1F7B" w:rsidRPr="00E87498">
        <w:rPr>
          <w:rFonts w:ascii="Arial" w:hAnsi="Arial" w:cs="Arial"/>
          <w:b/>
          <w:bCs/>
          <w:i/>
          <w:color w:val="000000" w:themeColor="text1"/>
          <w:sz w:val="22"/>
          <w:szCs w:val="22"/>
          <w:vertAlign w:val="superscript"/>
        </w:rPr>
        <w:t>®</w:t>
      </w:r>
      <w:r w:rsidR="007E1F7B" w:rsidRPr="00E87498">
        <w:rPr>
          <w:rFonts w:ascii="Arial" w:hAnsi="Arial" w:cs="Arial"/>
          <w:b/>
          <w:bCs/>
          <w:i/>
          <w:color w:val="000000" w:themeColor="text1"/>
          <w:sz w:val="22"/>
          <w:szCs w:val="22"/>
        </w:rPr>
        <w:t xml:space="preserve"> Gel (repository corticotropin injection)</w:t>
      </w:r>
      <w:bookmarkEnd w:id="0"/>
      <w:r w:rsidR="00E87498" w:rsidRPr="00E87498">
        <w:rPr>
          <w:rFonts w:ascii="Arial" w:hAnsi="Arial" w:cs="Arial"/>
          <w:b/>
          <w:bCs/>
          <w:i/>
          <w:color w:val="000000" w:themeColor="text1"/>
          <w:sz w:val="22"/>
          <w:szCs w:val="22"/>
        </w:rPr>
        <w:t xml:space="preserve"> for the treatment of </w:t>
      </w:r>
      <w:r w:rsidR="00E87498">
        <w:rPr>
          <w:rFonts w:ascii="Arial" w:hAnsi="Arial" w:cs="Arial"/>
          <w:b/>
          <w:bCs/>
          <w:i/>
          <w:color w:val="000000" w:themeColor="text1"/>
          <w:sz w:val="22"/>
          <w:szCs w:val="22"/>
        </w:rPr>
        <w:t xml:space="preserve">                                                </w:t>
      </w:r>
      <w:r w:rsidR="00E87498" w:rsidRPr="00E87498">
        <w:rPr>
          <w:rFonts w:ascii="Arial" w:hAnsi="Arial" w:cs="Arial"/>
          <w:b/>
          <w:bCs/>
          <w:i/>
          <w:color w:val="000000" w:themeColor="text1"/>
          <w:sz w:val="22"/>
          <w:szCs w:val="22"/>
        </w:rPr>
        <w:t>systemic dermatomyositis (polymyositis)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0544DAC9" w14:textId="77777777" w:rsidR="00E87498" w:rsidRDefault="00E35FA9" w:rsidP="00E87498">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p>
    <w:p w14:paraId="037C810E" w14:textId="5B346CF5" w:rsidR="00E87498" w:rsidRDefault="00E87498" w:rsidP="00E87498">
      <w:pPr>
        <w:pStyle w:val="ListParagraph"/>
        <w:numPr>
          <w:ilvl w:val="0"/>
          <w:numId w:val="3"/>
        </w:numPr>
        <w:spacing w:before="80"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9C86392" w14:textId="22515F6B" w:rsidR="00BD3189" w:rsidRPr="00E87498" w:rsidRDefault="00E87498" w:rsidP="00E87498">
      <w:pPr>
        <w:pStyle w:val="ListParagraph"/>
        <w:numPr>
          <w:ilvl w:val="0"/>
          <w:numId w:val="3"/>
        </w:numPr>
        <w:spacing w:before="80" w:after="36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492229D1"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3B14AC">
        <w:rPr>
          <w:rFonts w:ascii="Arial" w:eastAsia="Times New Roman" w:hAnsi="Arial" w:cs="Arial"/>
          <w:color w:val="000000"/>
        </w:rPr>
        <w:t>during an exacerbation or as maintenance therapy in selected cases of systemic dermatomyositis (polymyositis).</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071011">
      <w:pPr>
        <w:spacing w:after="4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8C4FE0">
      <w:pPr>
        <w:pStyle w:val="NoSpacing"/>
        <w:spacing w:after="8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6B7E0CE6" w14:textId="403074D0" w:rsidR="00E87498" w:rsidRDefault="00E87498" w:rsidP="00E87498">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Pr>
          <w:rFonts w:ascii="Arial" w:eastAsiaTheme="minorHAnsi" w:hAnsi="Arial" w:cs="Arial"/>
          <w:color w:val="00B0F0"/>
        </w:rPr>
        <w:t xml:space="preserve">appropriate </w:t>
      </w:r>
      <w:r w:rsidRPr="00CD55FD">
        <w:rPr>
          <w:rFonts w:ascii="Arial" w:eastAsiaTheme="minorHAnsi" w:hAnsi="Arial" w:cs="Arial"/>
          <w:color w:val="00B0F0"/>
        </w:rPr>
        <w:t>ICD-10 code</w:t>
      </w:r>
      <w:r>
        <w:rPr>
          <w:rFonts w:ascii="Arial" w:eastAsiaTheme="minorHAnsi" w:hAnsi="Arial" w:cs="Arial"/>
          <w:color w:val="00B0F0"/>
        </w:rPr>
        <w:t>s</w:t>
      </w:r>
      <w:r w:rsidRPr="00CD55FD">
        <w:rPr>
          <w:rFonts w:ascii="Arial" w:eastAsiaTheme="minorHAnsi" w:hAnsi="Arial" w:cs="Arial"/>
          <w:color w:val="00B0F0"/>
        </w:rPr>
        <w:t xml:space="preserve"> for </w:t>
      </w:r>
      <w:r>
        <w:rPr>
          <w:rFonts w:ascii="Arial" w:eastAsiaTheme="minorHAnsi" w:hAnsi="Arial" w:cs="Arial"/>
          <w:color w:val="00B0F0"/>
        </w:rPr>
        <w:t>systemic DM/PM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Pr="009B147F">
        <w:rPr>
          <w:rFonts w:ascii="Arial" w:eastAsiaTheme="minorHAnsi" w:hAnsi="Arial" w:cs="Arial"/>
        </w:rPr>
        <w:t>.</w:t>
      </w:r>
    </w:p>
    <w:p w14:paraId="5DC1D16F" w14:textId="77777777" w:rsidR="00E87498" w:rsidRDefault="00E87498" w:rsidP="00E87498">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6F8C6F28" w14:textId="1A5E5C64" w:rsidR="00E87498" w:rsidRPr="008D7644" w:rsidRDefault="00E87498" w:rsidP="00E87498">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Pr>
          <w:rFonts w:ascii="Arial" w:eastAsiaTheme="minorHAnsi" w:hAnsi="Arial" w:cs="Arial"/>
          <w:color w:val="00B0F0"/>
        </w:rPr>
        <w:t>systemic DM/PM</w:t>
      </w:r>
      <w:r w:rsidRPr="009B147F">
        <w:rPr>
          <w:rFonts w:ascii="Arial" w:eastAsiaTheme="minorHAnsi" w:hAnsi="Arial" w:cs="Arial"/>
          <w:color w:val="00B0F0"/>
        </w:rPr>
        <w:t>)]</w:t>
      </w:r>
      <w:r>
        <w:rPr>
          <w:rFonts w:ascii="Arial" w:eastAsiaTheme="minorHAnsi" w:hAnsi="Arial" w:cs="Arial"/>
        </w:rPr>
        <w:t xml:space="preserve">, </w:t>
      </w:r>
      <w:r w:rsidRPr="004E4D0F">
        <w:rPr>
          <w:rFonts w:ascii="Arial" w:eastAsiaTheme="minorHAnsi" w:hAnsi="Arial" w:cs="Arial"/>
        </w:rPr>
        <w:t xml:space="preserve">I understand </w:t>
      </w:r>
      <w:r w:rsidRPr="004E4D0F">
        <w:rPr>
          <w:rFonts w:ascii="Arial" w:eastAsiaTheme="minorHAnsi" w:hAnsi="Arial" w:cs="Arial"/>
          <w:color w:val="00B0F0"/>
        </w:rPr>
        <w:t>[Patient Name]</w:t>
      </w:r>
      <w:r w:rsidRPr="004E4D0F">
        <w:rPr>
          <w:rFonts w:ascii="Arial" w:eastAsiaTheme="minorHAnsi" w:hAnsi="Arial" w:cs="Arial"/>
        </w:rPr>
        <w:t xml:space="preserve"> 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w:t>
      </w:r>
      <w:r w:rsidRPr="004E4D0F">
        <w:rPr>
          <w:rFonts w:ascii="Arial" w:eastAsiaTheme="minorHAnsi" w:hAnsi="Arial" w:cs="Arial"/>
        </w:rPr>
        <w:t xml:space="preserve"> physician, </w:t>
      </w:r>
      <w:r>
        <w:rPr>
          <w:rFonts w:ascii="Arial" w:eastAsiaTheme="minorHAnsi" w:hAnsi="Arial" w:cs="Arial"/>
        </w:rPr>
        <w:t>it is my medical opinion that Acthar Gel</w:t>
      </w:r>
      <w:r w:rsidRPr="004E4D0F">
        <w:rPr>
          <w:rFonts w:ascii="Arial" w:eastAsiaTheme="minorHAnsi" w:hAnsi="Arial" w:cs="Arial"/>
        </w:rPr>
        <w:t xml:space="preserve"> 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79913795" w14:textId="77777777" w:rsidR="00E87498" w:rsidRPr="004E4D0F" w:rsidRDefault="00E87498" w:rsidP="00E87498">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530E3841" w14:textId="77777777" w:rsidR="00E87498" w:rsidRPr="008D7644" w:rsidRDefault="00E87498" w:rsidP="00E87498">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xml:space="preserve"> (e.g., DMARDs, TNF inhibitors, rituximab, belimumab, MMF); 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the treatment name, duration (start and end date), frequency, dosage(s), and outcome(s). In addition, list any medical events or tests that occurred during treatment (e.g., CPK test, myositis panel/biopsy, LFT),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6390E975" w14:textId="77777777" w:rsidR="00E87498" w:rsidRPr="004E4D0F" w:rsidRDefault="00E87498" w:rsidP="00E87498">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6727D1">
        <w:rPr>
          <w:rFonts w:ascii="Arial" w:eastAsiaTheme="minorHAnsi" w:hAnsi="Arial" w:cs="Arial"/>
          <w:color w:val="00B0F0"/>
        </w:rPr>
        <w:t>[Payer Name]</w:t>
      </w:r>
      <w:r>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Pr>
          <w:rFonts w:ascii="Arial" w:eastAsiaTheme="minorHAnsi" w:hAnsi="Arial" w:cs="Arial"/>
          <w:color w:val="000000" w:themeColor="text1"/>
        </w:rPr>
        <w:t xml:space="preserve">for </w:t>
      </w:r>
      <w:r w:rsidRPr="006727D1">
        <w:rPr>
          <w:rFonts w:ascii="Arial" w:eastAsiaTheme="minorHAnsi" w:hAnsi="Arial" w:cs="Arial"/>
          <w:color w:val="00B0F0"/>
        </w:rPr>
        <w:t>[Patient Name]</w:t>
      </w:r>
      <w:r>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Pr>
          <w:rFonts w:ascii="Arial" w:eastAsiaTheme="minorHAnsi" w:hAnsi="Arial" w:cs="Arial"/>
          <w:color w:val="000000" w:themeColor="text1"/>
        </w:rPr>
        <w:t xml:space="preserve">it is my medical opinion that Acthar is an appropriate option for </w:t>
      </w:r>
      <w:r w:rsidRPr="006727D1">
        <w:rPr>
          <w:rFonts w:ascii="Arial" w:eastAsiaTheme="minorHAnsi" w:hAnsi="Arial" w:cs="Arial"/>
          <w:color w:val="00B0F0"/>
        </w:rPr>
        <w:t>[Patient Name]</w:t>
      </w:r>
      <w:r>
        <w:rPr>
          <w:rFonts w:ascii="Arial" w:eastAsiaTheme="minorHAnsi" w:hAnsi="Arial" w:cs="Arial"/>
          <w:color w:val="000000" w:themeColor="text1"/>
        </w:rPr>
        <w:t xml:space="preserve">’s condition and may provide the desired positive outcome for </w:t>
      </w:r>
      <w:r w:rsidRPr="006727D1">
        <w:rPr>
          <w:rFonts w:ascii="Arial" w:eastAsiaTheme="minorHAnsi" w:hAnsi="Arial" w:cs="Arial"/>
          <w:color w:val="00B0F0"/>
        </w:rPr>
        <w:t>[Patient Name]</w:t>
      </w:r>
      <w:r>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49591129" w14:textId="77777777" w:rsidR="00E87498" w:rsidRPr="008D7644" w:rsidRDefault="00E87498" w:rsidP="00E87498">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78F41BB2" w14:textId="77777777" w:rsidR="00E87498" w:rsidRPr="004E4D0F" w:rsidRDefault="00E87498" w:rsidP="00E87498">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47D778A5" w14:textId="77777777" w:rsidR="00E87498" w:rsidRPr="004E4D0F" w:rsidRDefault="00E87498" w:rsidP="00E87498">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177FEE33" w14:textId="4378555E" w:rsidR="002D687E"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7A6FBFD3" w14:textId="77777777" w:rsidR="002D687E" w:rsidRDefault="002D687E">
      <w:pPr>
        <w:spacing w:after="160" w:line="259" w:lineRule="auto"/>
        <w:rPr>
          <w:rFonts w:ascii="Arial" w:eastAsiaTheme="minorHAnsi" w:hAnsi="Arial" w:cs="Arial"/>
          <w:color w:val="00B1F1"/>
        </w:rPr>
      </w:pPr>
      <w:r>
        <w:rPr>
          <w:rFonts w:ascii="Arial" w:eastAsiaTheme="minorHAnsi" w:hAnsi="Arial" w:cs="Arial"/>
          <w:color w:val="00B1F1"/>
        </w:rPr>
        <w:br w:type="page"/>
      </w:r>
    </w:p>
    <w:p w14:paraId="367CC921" w14:textId="77777777" w:rsidR="00C20850" w:rsidRPr="009041B3" w:rsidRDefault="00C20850" w:rsidP="00756CE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lastRenderedPageBreak/>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56337B83" w14:textId="45747FD4" w:rsidR="00C20850" w:rsidRPr="00756CE0" w:rsidRDefault="009F73BE" w:rsidP="00756CE0">
      <w:pPr>
        <w:spacing w:after="240"/>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34EA3CDC" w14:textId="5738EB40" w:rsidR="009F73BE" w:rsidRPr="00756CE0" w:rsidRDefault="009941D0" w:rsidP="00756CE0">
      <w:pPr>
        <w:spacing w:after="120"/>
        <w:rPr>
          <w:rFonts w:ascii="Arial" w:hAnsi="Arial" w:cs="Arial"/>
          <w:i/>
          <w:iCs/>
          <w:color w:val="0000FF"/>
          <w:sz w:val="22"/>
          <w:szCs w:val="22"/>
          <w:u w:val="single"/>
        </w:rPr>
      </w:pPr>
      <w:r>
        <w:rPr>
          <w:rFonts w:ascii="Arial" w:hAnsi="Arial" w:cs="Arial"/>
          <w:b/>
          <w:bCs/>
          <w:color w:val="000000"/>
          <w:sz w:val="22"/>
          <w:szCs w:val="22"/>
        </w:rPr>
        <w:t>Retrospective Medical Record Analysis Across Rheumatology Indications (Ho-Mahler)</w:t>
      </w:r>
      <w:r w:rsidR="009F73BE" w:rsidRPr="009F73BE">
        <w:rPr>
          <w:rFonts w:ascii="Arial" w:hAnsi="Arial" w:cs="Arial"/>
          <w:b/>
          <w:bCs/>
          <w:color w:val="000000"/>
          <w:sz w:val="22"/>
          <w:szCs w:val="22"/>
        </w:rPr>
        <w:t>:</w:t>
      </w:r>
      <w:r w:rsidR="009F73BE" w:rsidRPr="009F73BE">
        <w:rPr>
          <w:rFonts w:ascii="Arial" w:hAnsi="Arial" w:cs="Arial"/>
          <w:color w:val="000000"/>
          <w:sz w:val="22"/>
          <w:szCs w:val="22"/>
        </w:rPr>
        <w:t xml:space="preserve"> </w:t>
      </w:r>
      <w:hyperlink r:id="rId12" w:history="1">
        <w:r w:rsidRPr="009941D0">
          <w:rPr>
            <w:rStyle w:val="Hyperlink"/>
            <w:rFonts w:ascii="Arial" w:hAnsi="Arial" w:cs="Arial"/>
            <w:i/>
            <w:iCs/>
            <w:sz w:val="22"/>
            <w:szCs w:val="22"/>
          </w:rPr>
          <w:t>Treatment with Repository Corticotropin Injection in Patients with Rheumatoid Arthritis, Systemic Lupus Erythematosus, and Dermatomyositis/Polymyositis (2020)</w:t>
        </w:r>
      </w:hyperlink>
    </w:p>
    <w:p w14:paraId="0346F354" w14:textId="3DA5C9B8" w:rsidR="009F73BE" w:rsidRPr="009F73BE" w:rsidRDefault="009941D0" w:rsidP="00756CE0">
      <w:pPr>
        <w:spacing w:after="120"/>
        <w:rPr>
          <w:rFonts w:ascii="Arial" w:hAnsi="Arial" w:cs="Arial"/>
          <w:b/>
          <w:bCs/>
          <w:color w:val="000000"/>
        </w:rPr>
      </w:pPr>
      <w:r>
        <w:rPr>
          <w:rFonts w:ascii="Arial" w:hAnsi="Arial" w:cs="Arial"/>
          <w:b/>
          <w:bCs/>
          <w:color w:val="000000"/>
          <w:sz w:val="22"/>
          <w:szCs w:val="22"/>
        </w:rPr>
        <w:t>Case Report of Dermatomyositis and Polymyositis Patients Managed with Acthar Gel (Patel)</w:t>
      </w:r>
      <w:r w:rsidR="009F73BE" w:rsidRPr="009F73BE">
        <w:rPr>
          <w:rFonts w:ascii="Arial" w:hAnsi="Arial" w:cs="Arial"/>
          <w:b/>
          <w:bCs/>
          <w:color w:val="000000"/>
          <w:sz w:val="22"/>
          <w:szCs w:val="22"/>
        </w:rPr>
        <w:t>:</w:t>
      </w:r>
      <w:r>
        <w:rPr>
          <w:rFonts w:ascii="Arial" w:hAnsi="Arial" w:cs="Arial"/>
          <w:i/>
          <w:iCs/>
          <w:sz w:val="22"/>
          <w:szCs w:val="22"/>
        </w:rPr>
        <w:t xml:space="preserve"> </w:t>
      </w:r>
      <w:hyperlink r:id="rId13" w:history="1">
        <w:r w:rsidRPr="009941D0">
          <w:rPr>
            <w:rStyle w:val="Hyperlink"/>
            <w:rFonts w:ascii="Arial" w:hAnsi="Arial" w:cs="Arial"/>
            <w:i/>
            <w:iCs/>
            <w:sz w:val="22"/>
            <w:szCs w:val="22"/>
          </w:rPr>
          <w:t>Repository Corticotropin Injection for Treatment of Idiopathic Inflammatory Myopathies (2016)</w:t>
        </w:r>
      </w:hyperlink>
      <w:r w:rsidRPr="009F73BE">
        <w:rPr>
          <w:rFonts w:ascii="Arial" w:hAnsi="Arial" w:cs="Arial"/>
          <w:b/>
          <w:bCs/>
          <w:color w:val="000000"/>
        </w:rPr>
        <w:t xml:space="preserve"> </w:t>
      </w:r>
    </w:p>
    <w:p w14:paraId="64F0C052" w14:textId="1C387F06" w:rsidR="00DE17D4" w:rsidRPr="00756CE0" w:rsidRDefault="009941D0" w:rsidP="00756CE0">
      <w:pPr>
        <w:spacing w:after="120"/>
        <w:rPr>
          <w:rFonts w:ascii="Arial" w:hAnsi="Arial" w:cs="Arial"/>
          <w:i/>
          <w:iCs/>
          <w:color w:val="000000"/>
          <w:sz w:val="22"/>
          <w:szCs w:val="22"/>
        </w:rPr>
      </w:pPr>
      <w:r>
        <w:rPr>
          <w:rFonts w:ascii="Arial" w:hAnsi="Arial" w:cs="Arial"/>
          <w:b/>
          <w:bCs/>
          <w:color w:val="000000"/>
          <w:sz w:val="22"/>
          <w:szCs w:val="22"/>
        </w:rPr>
        <w:t>Analysis of Acthar Gel in a Dermatomyositis and Polymyositis Treatment Registry (Levine)</w:t>
      </w:r>
      <w:r w:rsidR="00DE17D4">
        <w:rPr>
          <w:rFonts w:ascii="Arial" w:hAnsi="Arial" w:cs="Arial"/>
          <w:b/>
          <w:bCs/>
          <w:color w:val="000000"/>
          <w:sz w:val="22"/>
          <w:szCs w:val="22"/>
        </w:rPr>
        <w:t>:</w:t>
      </w:r>
      <w:r>
        <w:rPr>
          <w:rFonts w:ascii="Arial" w:hAnsi="Arial" w:cs="Arial"/>
          <w:b/>
          <w:bCs/>
          <w:color w:val="000000"/>
          <w:sz w:val="22"/>
          <w:szCs w:val="22"/>
        </w:rPr>
        <w:t xml:space="preserve"> </w:t>
      </w:r>
      <w:hyperlink r:id="rId14" w:history="1">
        <w:r w:rsidRPr="009941D0">
          <w:rPr>
            <w:rStyle w:val="Hyperlink"/>
            <w:rFonts w:ascii="Arial" w:hAnsi="Arial" w:cs="Arial"/>
            <w:i/>
            <w:iCs/>
            <w:sz w:val="22"/>
            <w:szCs w:val="22"/>
          </w:rPr>
          <w:t>H.P. Acthar</w:t>
        </w:r>
        <w:r w:rsidR="008C4FE0" w:rsidRPr="008C4FE0">
          <w:rPr>
            <w:rStyle w:val="Hyperlink"/>
            <w:rFonts w:ascii="Arial" w:hAnsi="Arial" w:cs="Arial"/>
            <w:i/>
            <w:iCs/>
            <w:sz w:val="22"/>
            <w:szCs w:val="22"/>
            <w:vertAlign w:val="superscript"/>
          </w:rPr>
          <w:t>®</w:t>
        </w:r>
        <w:r w:rsidRPr="009941D0">
          <w:rPr>
            <w:rStyle w:val="Hyperlink"/>
            <w:rFonts w:ascii="Arial" w:hAnsi="Arial" w:cs="Arial"/>
            <w:i/>
            <w:iCs/>
            <w:sz w:val="22"/>
            <w:szCs w:val="22"/>
          </w:rPr>
          <w:t xml:space="preserve"> Gel in Dermatomyositis and Polymyositis Treatment Registry: An Interim Analysis (2016)</w:t>
        </w:r>
      </w:hyperlink>
    </w:p>
    <w:p w14:paraId="34FC0619" w14:textId="3E6DC13A" w:rsidR="003A7818" w:rsidRDefault="009941D0" w:rsidP="00756CE0">
      <w:pPr>
        <w:pStyle w:val="Heading1"/>
        <w:shd w:val="clear" w:color="auto" w:fill="FFFFFF"/>
        <w:spacing w:before="0" w:beforeAutospacing="0" w:after="120" w:afterAutospacing="0" w:line="276" w:lineRule="atLeast"/>
        <w:rPr>
          <w:rFonts w:ascii="Arial" w:hAnsi="Arial" w:cs="Arial"/>
          <w:b w:val="0"/>
          <w:bCs w:val="0"/>
          <w:i/>
          <w:iCs/>
          <w:kern w:val="0"/>
          <w:sz w:val="22"/>
          <w:szCs w:val="22"/>
        </w:rPr>
      </w:pPr>
      <w:r>
        <w:rPr>
          <w:rFonts w:ascii="Arial" w:hAnsi="Arial" w:cs="Arial"/>
          <w:color w:val="000000"/>
          <w:kern w:val="0"/>
          <w:sz w:val="22"/>
          <w:szCs w:val="22"/>
        </w:rPr>
        <w:t xml:space="preserve">Efficacy and </w:t>
      </w:r>
      <w:r w:rsidR="008C4FE0">
        <w:rPr>
          <w:rFonts w:ascii="Arial" w:hAnsi="Arial" w:cs="Arial"/>
          <w:color w:val="000000"/>
          <w:kern w:val="0"/>
          <w:sz w:val="22"/>
          <w:szCs w:val="22"/>
        </w:rPr>
        <w:t>S</w:t>
      </w:r>
      <w:r>
        <w:rPr>
          <w:rFonts w:ascii="Arial" w:hAnsi="Arial" w:cs="Arial"/>
          <w:color w:val="000000"/>
          <w:kern w:val="0"/>
          <w:sz w:val="22"/>
          <w:szCs w:val="22"/>
        </w:rPr>
        <w:t xml:space="preserve">afety of </w:t>
      </w:r>
      <w:r w:rsidR="008C4FE0">
        <w:rPr>
          <w:rFonts w:ascii="Arial" w:hAnsi="Arial" w:cs="Arial"/>
          <w:color w:val="000000"/>
          <w:kern w:val="0"/>
          <w:sz w:val="22"/>
          <w:szCs w:val="22"/>
        </w:rPr>
        <w:t>A</w:t>
      </w:r>
      <w:r>
        <w:rPr>
          <w:rFonts w:ascii="Arial" w:hAnsi="Arial" w:cs="Arial"/>
          <w:color w:val="000000"/>
          <w:kern w:val="0"/>
          <w:sz w:val="22"/>
          <w:szCs w:val="22"/>
        </w:rPr>
        <w:t xml:space="preserve">drenocorticotropic </w:t>
      </w:r>
      <w:r w:rsidR="008C4FE0">
        <w:rPr>
          <w:rFonts w:ascii="Arial" w:hAnsi="Arial" w:cs="Arial"/>
          <w:color w:val="000000"/>
          <w:kern w:val="0"/>
          <w:sz w:val="22"/>
          <w:szCs w:val="22"/>
        </w:rPr>
        <w:t>H</w:t>
      </w:r>
      <w:r>
        <w:rPr>
          <w:rFonts w:ascii="Arial" w:hAnsi="Arial" w:cs="Arial"/>
          <w:color w:val="000000"/>
          <w:kern w:val="0"/>
          <w:sz w:val="22"/>
          <w:szCs w:val="22"/>
        </w:rPr>
        <w:t xml:space="preserve">ormone </w:t>
      </w:r>
      <w:r w:rsidR="008C4FE0">
        <w:rPr>
          <w:rFonts w:ascii="Arial" w:hAnsi="Arial" w:cs="Arial"/>
          <w:color w:val="000000"/>
          <w:kern w:val="0"/>
          <w:sz w:val="22"/>
          <w:szCs w:val="22"/>
        </w:rPr>
        <w:t>G</w:t>
      </w:r>
      <w:r>
        <w:rPr>
          <w:rFonts w:ascii="Arial" w:hAnsi="Arial" w:cs="Arial"/>
          <w:color w:val="000000"/>
          <w:kern w:val="0"/>
          <w:sz w:val="22"/>
          <w:szCs w:val="22"/>
        </w:rPr>
        <w:t xml:space="preserve">el in </w:t>
      </w:r>
      <w:r w:rsidR="008C4FE0">
        <w:rPr>
          <w:rFonts w:ascii="Arial" w:hAnsi="Arial" w:cs="Arial"/>
          <w:color w:val="000000"/>
          <w:kern w:val="0"/>
          <w:sz w:val="22"/>
          <w:szCs w:val="22"/>
        </w:rPr>
        <w:t>R</w:t>
      </w:r>
      <w:r>
        <w:rPr>
          <w:rFonts w:ascii="Arial" w:hAnsi="Arial" w:cs="Arial"/>
          <w:color w:val="000000"/>
          <w:kern w:val="0"/>
          <w:sz w:val="22"/>
          <w:szCs w:val="22"/>
        </w:rPr>
        <w:t xml:space="preserve">efractory </w:t>
      </w:r>
      <w:r w:rsidR="008C4FE0">
        <w:rPr>
          <w:rFonts w:ascii="Arial" w:hAnsi="Arial" w:cs="Arial"/>
          <w:color w:val="000000"/>
          <w:kern w:val="0"/>
          <w:sz w:val="22"/>
          <w:szCs w:val="22"/>
        </w:rPr>
        <w:t>D</w:t>
      </w:r>
      <w:r>
        <w:rPr>
          <w:rFonts w:ascii="Arial" w:hAnsi="Arial" w:cs="Arial"/>
          <w:color w:val="000000"/>
          <w:kern w:val="0"/>
          <w:sz w:val="22"/>
          <w:szCs w:val="22"/>
        </w:rPr>
        <w:t xml:space="preserve">ermatomyositis and </w:t>
      </w:r>
      <w:r w:rsidR="008C4FE0">
        <w:rPr>
          <w:rFonts w:ascii="Arial" w:hAnsi="Arial" w:cs="Arial"/>
          <w:color w:val="000000"/>
          <w:kern w:val="0"/>
          <w:sz w:val="22"/>
          <w:szCs w:val="22"/>
        </w:rPr>
        <w:t>P</w:t>
      </w:r>
      <w:r>
        <w:rPr>
          <w:rFonts w:ascii="Arial" w:hAnsi="Arial" w:cs="Arial"/>
          <w:color w:val="000000"/>
          <w:kern w:val="0"/>
          <w:sz w:val="22"/>
          <w:szCs w:val="22"/>
        </w:rPr>
        <w:t>olymyositis (Aggarwal)</w:t>
      </w:r>
      <w:r w:rsidR="009F73BE" w:rsidRPr="009F73BE">
        <w:rPr>
          <w:rFonts w:ascii="Arial" w:hAnsi="Arial" w:cs="Arial"/>
          <w:color w:val="000000"/>
          <w:kern w:val="0"/>
          <w:sz w:val="22"/>
          <w:szCs w:val="22"/>
        </w:rPr>
        <w:t xml:space="preserve">: </w:t>
      </w:r>
      <w:hyperlink r:id="rId15" w:history="1">
        <w:r w:rsidR="003A7818" w:rsidRPr="00B54DEC">
          <w:rPr>
            <w:rStyle w:val="Hyperlink"/>
            <w:rFonts w:ascii="Arial" w:hAnsi="Arial" w:cs="Arial"/>
            <w:b w:val="0"/>
            <w:bCs w:val="0"/>
            <w:i/>
            <w:iCs/>
            <w:kern w:val="0"/>
            <w:sz w:val="22"/>
            <w:szCs w:val="22"/>
          </w:rPr>
          <w:t>https://www.ncbi.nlm.nih.gov/pubmed/29237618</w:t>
        </w:r>
      </w:hyperlink>
      <w:r w:rsidR="003A7818">
        <w:rPr>
          <w:rFonts w:ascii="Arial" w:hAnsi="Arial" w:cs="Arial"/>
          <w:b w:val="0"/>
          <w:bCs w:val="0"/>
          <w:i/>
          <w:iCs/>
          <w:kern w:val="0"/>
          <w:sz w:val="22"/>
          <w:szCs w:val="22"/>
        </w:rPr>
        <w:t xml:space="preserve"> </w:t>
      </w:r>
      <w:r>
        <w:rPr>
          <w:rFonts w:ascii="Arial" w:hAnsi="Arial" w:cs="Arial"/>
          <w:b w:val="0"/>
          <w:bCs w:val="0"/>
          <w:i/>
          <w:iCs/>
          <w:kern w:val="0"/>
          <w:sz w:val="22"/>
          <w:szCs w:val="22"/>
        </w:rPr>
        <w:t xml:space="preserve"> </w:t>
      </w:r>
    </w:p>
    <w:p w14:paraId="567BD28C" w14:textId="139AA2D1" w:rsidR="00756CE0" w:rsidRDefault="003A7818" w:rsidP="00756CE0">
      <w:pPr>
        <w:pStyle w:val="Heading1"/>
        <w:shd w:val="clear" w:color="auto" w:fill="FFFFFF"/>
        <w:spacing w:before="0" w:beforeAutospacing="0" w:after="120" w:afterAutospacing="0" w:line="276" w:lineRule="atLeast"/>
        <w:rPr>
          <w:rFonts w:ascii="Arial" w:hAnsi="Arial" w:cs="Arial"/>
          <w:b w:val="0"/>
          <w:bCs w:val="0"/>
          <w:i/>
          <w:iCs/>
          <w:kern w:val="0"/>
          <w:sz w:val="22"/>
          <w:szCs w:val="22"/>
        </w:rPr>
      </w:pPr>
      <w:r>
        <w:rPr>
          <w:rFonts w:ascii="Arial" w:hAnsi="Arial" w:cs="Arial"/>
          <w:kern w:val="0"/>
          <w:sz w:val="22"/>
          <w:szCs w:val="22"/>
        </w:rPr>
        <w:t>Follow-</w:t>
      </w:r>
      <w:r w:rsidR="00AA10D6">
        <w:rPr>
          <w:rFonts w:ascii="Arial" w:hAnsi="Arial" w:cs="Arial"/>
          <w:kern w:val="0"/>
          <w:sz w:val="22"/>
          <w:szCs w:val="22"/>
        </w:rPr>
        <w:t>U</w:t>
      </w:r>
      <w:r>
        <w:rPr>
          <w:rFonts w:ascii="Arial" w:hAnsi="Arial" w:cs="Arial"/>
          <w:kern w:val="0"/>
          <w:sz w:val="22"/>
          <w:szCs w:val="22"/>
        </w:rPr>
        <w:t xml:space="preserve">p </w:t>
      </w:r>
      <w:r w:rsidR="008C4FE0">
        <w:rPr>
          <w:rFonts w:ascii="Arial" w:hAnsi="Arial" w:cs="Arial"/>
          <w:kern w:val="0"/>
          <w:sz w:val="22"/>
          <w:szCs w:val="22"/>
        </w:rPr>
        <w:t>R</w:t>
      </w:r>
      <w:r>
        <w:rPr>
          <w:rFonts w:ascii="Arial" w:hAnsi="Arial" w:cs="Arial"/>
          <w:kern w:val="0"/>
          <w:sz w:val="22"/>
          <w:szCs w:val="22"/>
        </w:rPr>
        <w:t xml:space="preserve">esults of </w:t>
      </w:r>
      <w:r w:rsidR="008C4FE0">
        <w:rPr>
          <w:rFonts w:ascii="Arial" w:hAnsi="Arial" w:cs="Arial"/>
          <w:kern w:val="0"/>
          <w:sz w:val="22"/>
          <w:szCs w:val="22"/>
        </w:rPr>
        <w:t>M</w:t>
      </w:r>
      <w:r>
        <w:rPr>
          <w:rFonts w:ascii="Arial" w:hAnsi="Arial" w:cs="Arial"/>
          <w:kern w:val="0"/>
          <w:sz w:val="22"/>
          <w:szCs w:val="22"/>
        </w:rPr>
        <w:t xml:space="preserve">yositis </w:t>
      </w:r>
      <w:r w:rsidR="008C4FE0">
        <w:rPr>
          <w:rFonts w:ascii="Arial" w:hAnsi="Arial" w:cs="Arial"/>
          <w:kern w:val="0"/>
          <w:sz w:val="22"/>
          <w:szCs w:val="22"/>
        </w:rPr>
        <w:t>P</w:t>
      </w:r>
      <w:r>
        <w:rPr>
          <w:rFonts w:ascii="Arial" w:hAnsi="Arial" w:cs="Arial"/>
          <w:kern w:val="0"/>
          <w:sz w:val="22"/>
          <w:szCs w:val="22"/>
        </w:rPr>
        <w:t xml:space="preserve">atients </w:t>
      </w:r>
      <w:r w:rsidR="008C4FE0">
        <w:rPr>
          <w:rFonts w:ascii="Arial" w:hAnsi="Arial" w:cs="Arial"/>
          <w:kern w:val="0"/>
          <w:sz w:val="22"/>
          <w:szCs w:val="22"/>
        </w:rPr>
        <w:t>T</w:t>
      </w:r>
      <w:r>
        <w:rPr>
          <w:rFonts w:ascii="Arial" w:hAnsi="Arial" w:cs="Arial"/>
          <w:kern w:val="0"/>
          <w:sz w:val="22"/>
          <w:szCs w:val="22"/>
        </w:rPr>
        <w:t xml:space="preserve">reated with H. P. Acthar </w:t>
      </w:r>
      <w:r w:rsidR="008C4FE0">
        <w:rPr>
          <w:rFonts w:ascii="Arial" w:hAnsi="Arial" w:cs="Arial"/>
          <w:kern w:val="0"/>
          <w:sz w:val="22"/>
          <w:szCs w:val="22"/>
        </w:rPr>
        <w:t>G</w:t>
      </w:r>
      <w:r>
        <w:rPr>
          <w:rFonts w:ascii="Arial" w:hAnsi="Arial" w:cs="Arial"/>
          <w:kern w:val="0"/>
          <w:sz w:val="22"/>
          <w:szCs w:val="22"/>
        </w:rPr>
        <w:t>el</w:t>
      </w:r>
      <w:r w:rsidR="008C4FE0">
        <w:rPr>
          <w:rFonts w:ascii="Arial" w:hAnsi="Arial" w:cs="Arial"/>
          <w:kern w:val="0"/>
          <w:sz w:val="22"/>
          <w:szCs w:val="22"/>
        </w:rPr>
        <w:t xml:space="preserve"> </w:t>
      </w:r>
      <w:r>
        <w:rPr>
          <w:rFonts w:ascii="Arial" w:hAnsi="Arial" w:cs="Arial"/>
          <w:kern w:val="0"/>
          <w:sz w:val="22"/>
          <w:szCs w:val="22"/>
        </w:rPr>
        <w:t xml:space="preserve">(Saygin): </w:t>
      </w:r>
      <w:hyperlink r:id="rId16" w:history="1">
        <w:r w:rsidRPr="00B54DEC">
          <w:rPr>
            <w:rStyle w:val="Hyperlink"/>
            <w:rFonts w:ascii="Arial" w:hAnsi="Arial" w:cs="Arial"/>
            <w:b w:val="0"/>
            <w:bCs w:val="0"/>
            <w:i/>
            <w:iCs/>
            <w:kern w:val="0"/>
            <w:sz w:val="22"/>
            <w:szCs w:val="22"/>
          </w:rPr>
          <w:t>https://www.ncbi.nlm.nih.gov/pubmed/32160301</w:t>
        </w:r>
      </w:hyperlink>
      <w:r>
        <w:rPr>
          <w:rFonts w:ascii="Arial" w:hAnsi="Arial" w:cs="Arial"/>
          <w:b w:val="0"/>
          <w:bCs w:val="0"/>
          <w:i/>
          <w:iCs/>
          <w:kern w:val="0"/>
          <w:sz w:val="22"/>
          <w:szCs w:val="22"/>
        </w:rPr>
        <w:t xml:space="preserve"> </w:t>
      </w:r>
    </w:p>
    <w:p w14:paraId="7B4289A9" w14:textId="49861934" w:rsidR="00756CE0" w:rsidRPr="00756CE0" w:rsidRDefault="00756CE0" w:rsidP="00756CE0">
      <w:pPr>
        <w:pStyle w:val="Heading1"/>
        <w:shd w:val="clear" w:color="auto" w:fill="FFFFFF"/>
        <w:spacing w:before="0" w:beforeAutospacing="0" w:after="120" w:afterAutospacing="0" w:line="276" w:lineRule="atLeast"/>
        <w:rPr>
          <w:rStyle w:val="Hyperlink"/>
          <w:rFonts w:ascii="Arial" w:hAnsi="Arial" w:cs="Arial"/>
          <w:b w:val="0"/>
          <w:bCs w:val="0"/>
          <w:kern w:val="0"/>
          <w:sz w:val="22"/>
          <w:szCs w:val="22"/>
        </w:rPr>
      </w:pPr>
      <w:r w:rsidRPr="00756CE0">
        <w:rPr>
          <w:rFonts w:ascii="Arial" w:hAnsi="Arial" w:cs="Arial"/>
          <w:kern w:val="0"/>
          <w:sz w:val="22"/>
          <w:szCs w:val="22"/>
        </w:rPr>
        <w:t>Efficacy and Safety of Repository Corticotropin Injection for Refractory Cutaneous Dermatomyositis: A Prospective, Open-Label Study (Fernandez):</w:t>
      </w:r>
      <w:r>
        <w:rPr>
          <w:rFonts w:ascii="Arial" w:hAnsi="Arial" w:cs="Arial"/>
          <w:kern w:val="0"/>
          <w:sz w:val="22"/>
          <w:szCs w:val="22"/>
        </w:rPr>
        <w:t xml:space="preserve"> </w:t>
      </w:r>
      <w:hyperlink r:id="rId17" w:history="1">
        <w:r w:rsidRPr="00756CE0">
          <w:rPr>
            <w:rStyle w:val="Hyperlink"/>
            <w:rFonts w:ascii="Arial" w:hAnsi="Arial" w:cs="Arial"/>
            <w:b w:val="0"/>
            <w:bCs w:val="0"/>
            <w:i/>
            <w:iCs/>
            <w:kern w:val="0"/>
            <w:sz w:val="22"/>
            <w:szCs w:val="22"/>
          </w:rPr>
          <w:t>https://academic.oup.com/rheumatology/advance-article-abstract/doi/10.1093/rheumatology/kead595/7371308?redirectedFrom=fulltext</w:t>
        </w:r>
      </w:hyperlink>
      <w:r w:rsidRPr="00756CE0">
        <w:rPr>
          <w:rFonts w:ascii="Arial" w:hAnsi="Arial" w:cs="Arial"/>
          <w:b w:val="0"/>
          <w:bCs w:val="0"/>
          <w:kern w:val="0"/>
          <w:sz w:val="22"/>
          <w:szCs w:val="22"/>
        </w:rPr>
        <w:t xml:space="preserve"> </w:t>
      </w:r>
    </w:p>
    <w:p w14:paraId="5B2A63D8" w14:textId="0528D8A1" w:rsidR="009F73BE" w:rsidRPr="00DE17D4" w:rsidRDefault="003A7818"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r w:rsidRPr="009F73BE">
        <w:rPr>
          <w:rFonts w:ascii="Arial" w:hAnsi="Arial" w:cs="Arial"/>
          <w:b w:val="0"/>
          <w:bCs w:val="0"/>
          <w:noProof/>
          <w:sz w:val="22"/>
          <w:szCs w:val="22"/>
        </w:rPr>
        <mc:AlternateContent>
          <mc:Choice Requires="wps">
            <w:drawing>
              <wp:anchor distT="0" distB="0" distL="114300" distR="114300" simplePos="0" relativeHeight="251659264" behindDoc="0" locked="0" layoutInCell="1" allowOverlap="1" wp14:anchorId="75A94BCF" wp14:editId="40691601">
                <wp:simplePos x="0" y="0"/>
                <wp:positionH relativeFrom="column">
                  <wp:posOffset>-85725</wp:posOffset>
                </wp:positionH>
                <wp:positionV relativeFrom="paragraph">
                  <wp:posOffset>113030</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86910" id="Rectangle 1" o:spid="_x0000_s1026" style="position:absolute;margin-left:-6.75pt;margin-top:8.9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" filled="f" strokecolor="black [3213]" strokeweight="1.5pt"/>
            </w:pict>
          </mc:Fallback>
        </mc:AlternateContent>
      </w:r>
    </w:p>
    <w:p w14:paraId="3D27C6DA" w14:textId="661B919C" w:rsidR="00786393" w:rsidRPr="009941D0" w:rsidRDefault="003A7818" w:rsidP="009941D0">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00786393"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w:t>
      </w:r>
      <w:r w:rsidR="009941D0" w:rsidRPr="009941D0">
        <w:rPr>
          <w:rFonts w:ascii="Arial" w:hAnsi="Arial" w:cs="Arial"/>
          <w:b/>
          <w:iCs/>
          <w:color w:val="000000" w:themeColor="text1"/>
          <w:sz w:val="22"/>
          <w:szCs w:val="22"/>
        </w:rPr>
        <w:t>le to Acthar Gel.</w:t>
      </w:r>
    </w:p>
    <w:p w14:paraId="57E91000" w14:textId="77777777" w:rsidR="00786393" w:rsidRPr="009941D0" w:rsidRDefault="00786393" w:rsidP="00793967">
      <w:pPr>
        <w:autoSpaceDE w:val="0"/>
        <w:autoSpaceDN w:val="0"/>
        <w:adjustRightInd w:val="0"/>
        <w:rPr>
          <w:rFonts w:ascii="Arial" w:hAnsi="Arial" w:cs="Arial"/>
          <w:b/>
          <w:iCs/>
          <w:color w:val="000000" w:themeColor="text1"/>
          <w:sz w:val="22"/>
          <w:szCs w:val="22"/>
        </w:rPr>
      </w:pPr>
    </w:p>
    <w:p w14:paraId="5A05BC68" w14:textId="77777777"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2919D0AD" w14:textId="1DCD3AB7" w:rsidR="00793967" w:rsidRPr="000E5EE1" w:rsidRDefault="00793967" w:rsidP="00793967">
      <w:pPr>
        <w:pStyle w:val="ListParagraph"/>
        <w:numPr>
          <w:ilvl w:val="1"/>
          <w:numId w:val="4"/>
        </w:numPr>
        <w:spacing w:after="120" w:line="240" w:lineRule="auto"/>
        <w:contextualSpacing w:val="0"/>
        <w:rPr>
          <w:rFonts w:ascii="Arial" w:hAnsi="Arial" w:cs="Arial"/>
        </w:rPr>
      </w:pPr>
      <w:r w:rsidRPr="000E5EE1">
        <w:rPr>
          <w:rFonts w:ascii="Arial" w:hAnsi="Arial" w:cs="Arial"/>
        </w:rPr>
        <w:t>Acthar</w:t>
      </w:r>
      <w:r w:rsidRPr="000E5EE1">
        <w:rPr>
          <w:rFonts w:ascii="Arial" w:hAnsi="Arial" w:cs="Arial"/>
          <w:vertAlign w:val="superscript"/>
        </w:rPr>
        <w:t>®</w:t>
      </w:r>
      <w:r w:rsidRPr="000E5EE1">
        <w:rPr>
          <w:rFonts w:ascii="Arial" w:hAnsi="Arial" w:cs="Arial"/>
        </w:rPr>
        <w:t xml:space="preserve"> Gel (repository corticotropin injection) is </w:t>
      </w:r>
      <w:r w:rsidR="00145D1D">
        <w:rPr>
          <w:rFonts w:ascii="Arial" w:hAnsi="Arial" w:cs="Arial"/>
        </w:rPr>
        <w:t>indicated</w:t>
      </w:r>
      <w:r w:rsidRPr="000E5EE1">
        <w:rPr>
          <w:rFonts w:ascii="Arial" w:hAnsi="Arial" w:cs="Arial"/>
        </w:rPr>
        <w:t xml:space="preserve"> </w:t>
      </w:r>
      <w:r w:rsidR="00145D1D">
        <w:rPr>
          <w:rFonts w:ascii="Arial" w:hAnsi="Arial" w:cs="Arial"/>
        </w:rPr>
        <w:t>during an exacerbation or as maintenance therapy in selected cases of systemic dermatomyositis (polymyositis).</w:t>
      </w:r>
      <w:r w:rsidRPr="000E5EE1">
        <w:rPr>
          <w:rFonts w:ascii="Arial" w:hAnsi="Arial" w:cs="Arial"/>
          <w:vertAlign w:val="superscript"/>
        </w:rPr>
        <w:t>1</w:t>
      </w:r>
    </w:p>
    <w:p w14:paraId="26A07D1E" w14:textId="77777777" w:rsidR="00E87498" w:rsidRPr="00393812" w:rsidRDefault="00E87498" w:rsidP="00E87498">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75ECA290" w14:textId="77777777" w:rsidR="00E87498" w:rsidRDefault="00E87498" w:rsidP="00E87498">
      <w:pPr>
        <w:pStyle w:val="ListParagraph"/>
        <w:ind w:left="360"/>
        <w:rPr>
          <w:rFonts w:ascii="Arial" w:hAnsi="Arial" w:cs="Arial"/>
          <w:b/>
          <w:bCs/>
          <w:iCs/>
        </w:rPr>
      </w:pPr>
    </w:p>
    <w:p w14:paraId="12257722" w14:textId="77777777" w:rsidR="00E87498" w:rsidRPr="00FE0C63" w:rsidRDefault="00E87498" w:rsidP="00E87498">
      <w:pPr>
        <w:pStyle w:val="ListParagraph"/>
        <w:ind w:left="0"/>
        <w:rPr>
          <w:rFonts w:ascii="Arial" w:hAnsi="Arial" w:cs="Arial"/>
          <w:b/>
          <w:bCs/>
          <w:iCs/>
        </w:rPr>
      </w:pPr>
      <w:r w:rsidRPr="00FE0C63">
        <w:rPr>
          <w:rFonts w:ascii="Arial" w:hAnsi="Arial" w:cs="Arial"/>
          <w:b/>
          <w:bCs/>
          <w:iCs/>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425820E7" w14:textId="0D415344" w:rsidR="00E87498" w:rsidRPr="00FE0C63" w:rsidRDefault="00E87498" w:rsidP="00E87498">
      <w:pPr>
        <w:rPr>
          <w:rFonts w:ascii="Arial" w:hAnsi="Arial" w:cs="Arial"/>
          <w:b/>
          <w:sz w:val="18"/>
          <w:szCs w:val="18"/>
        </w:rPr>
      </w:pPr>
      <w:r w:rsidRPr="00FE0C63">
        <w:rPr>
          <w:rFonts w:ascii="Arial" w:hAnsi="Arial" w:cs="Arial"/>
          <w:b/>
          <w:sz w:val="18"/>
          <w:szCs w:val="18"/>
        </w:rPr>
        <w:t xml:space="preserve">References: 1. </w:t>
      </w:r>
      <w:r w:rsidRPr="00FE0C63">
        <w:rPr>
          <w:rFonts w:ascii="Arial" w:hAnsi="Arial" w:cs="Arial"/>
          <w:sz w:val="18"/>
          <w:szCs w:val="18"/>
        </w:rPr>
        <w:t>Acthar® Gel (repository corticotropin injection) [prescribing information]. B</w:t>
      </w:r>
      <w:r w:rsidR="00D06A1E">
        <w:rPr>
          <w:rFonts w:ascii="Arial" w:hAnsi="Arial" w:cs="Arial"/>
          <w:sz w:val="18"/>
          <w:szCs w:val="18"/>
        </w:rPr>
        <w:t>ridgewater</w:t>
      </w:r>
      <w:r w:rsidRPr="00FE0C63">
        <w:rPr>
          <w:rFonts w:ascii="Arial" w:hAnsi="Arial" w:cs="Arial"/>
          <w:sz w:val="18"/>
          <w:szCs w:val="18"/>
        </w:rPr>
        <w:t xml:space="preserve">, NJ: Mallinckrodt Pharmaceuticals. </w:t>
      </w:r>
      <w:r w:rsidRPr="00FE0C63">
        <w:rPr>
          <w:rFonts w:ascii="Arial" w:hAnsi="Arial" w:cs="Arial"/>
          <w:b/>
          <w:bCs/>
          <w:sz w:val="18"/>
          <w:szCs w:val="18"/>
        </w:rPr>
        <w:t>2.</w:t>
      </w:r>
      <w:r w:rsidRPr="00FE0C63">
        <w:rPr>
          <w:rFonts w:ascii="Arial" w:hAnsi="Arial" w:cs="Arial"/>
          <w:sz w:val="18"/>
          <w:szCs w:val="18"/>
        </w:rPr>
        <w:t xml:space="preserve"> Catania A, </w:t>
      </w:r>
      <w:proofErr w:type="spellStart"/>
      <w:r w:rsidRPr="00FE0C63">
        <w:rPr>
          <w:rFonts w:ascii="Arial" w:hAnsi="Arial" w:cs="Arial"/>
          <w:sz w:val="18"/>
          <w:szCs w:val="18"/>
        </w:rPr>
        <w:t>Lonati</w:t>
      </w:r>
      <w:proofErr w:type="spellEnd"/>
      <w:r w:rsidRPr="00FE0C63">
        <w:rPr>
          <w:rFonts w:ascii="Arial" w:hAnsi="Arial" w:cs="Arial"/>
          <w:sz w:val="18"/>
          <w:szCs w:val="18"/>
        </w:rPr>
        <w:t xml:space="preserve"> C, Sordi A, Carlin A, Leonardi P, Gatti S. The melanocortin system in control of inflammation. </w:t>
      </w:r>
      <w:r w:rsidRPr="00FE0C63">
        <w:rPr>
          <w:rFonts w:ascii="Arial" w:hAnsi="Arial" w:cs="Arial"/>
          <w:i/>
          <w:iCs/>
          <w:sz w:val="18"/>
          <w:szCs w:val="18"/>
        </w:rPr>
        <w:t>Scientific World Journal.</w:t>
      </w:r>
      <w:r w:rsidRPr="00FE0C63">
        <w:rPr>
          <w:rFonts w:ascii="Arial" w:hAnsi="Arial" w:cs="Arial"/>
          <w:sz w:val="18"/>
          <w:szCs w:val="18"/>
        </w:rPr>
        <w:t xml:space="preserve"> 2010;10:1840-1853. </w:t>
      </w:r>
      <w:r w:rsidRPr="00FE0C63">
        <w:rPr>
          <w:rFonts w:ascii="Arial" w:hAnsi="Arial" w:cs="Arial"/>
          <w:b/>
          <w:bCs/>
          <w:sz w:val="18"/>
          <w:szCs w:val="18"/>
        </w:rPr>
        <w:t>3.</w:t>
      </w:r>
      <w:r w:rsidRPr="00FE0C63">
        <w:rPr>
          <w:rFonts w:ascii="Arial" w:hAnsi="Arial" w:cs="Arial"/>
          <w:sz w:val="18"/>
          <w:szCs w:val="18"/>
        </w:rPr>
        <w:t xml:space="preserve"> Huang YJ, Galen K, Zweifel B, Brooks LR, Wright AD. Distinct binding and signaling activity of Acthar Gel compared to other melanocortin receptor agonists. </w:t>
      </w:r>
      <w:r w:rsidRPr="00FE0C63">
        <w:rPr>
          <w:rFonts w:ascii="Arial" w:hAnsi="Arial" w:cs="Arial"/>
          <w:i/>
          <w:iCs/>
          <w:sz w:val="18"/>
          <w:szCs w:val="18"/>
        </w:rPr>
        <w:t xml:space="preserve">J </w:t>
      </w:r>
      <w:proofErr w:type="spellStart"/>
      <w:r w:rsidRPr="00FE0C63">
        <w:rPr>
          <w:rFonts w:ascii="Arial" w:hAnsi="Arial" w:cs="Arial"/>
          <w:i/>
          <w:iCs/>
          <w:sz w:val="18"/>
          <w:szCs w:val="18"/>
        </w:rPr>
        <w:t>Recept</w:t>
      </w:r>
      <w:proofErr w:type="spellEnd"/>
      <w:r w:rsidRPr="00FE0C63">
        <w:rPr>
          <w:rFonts w:ascii="Arial" w:hAnsi="Arial" w:cs="Arial"/>
          <w:i/>
          <w:iCs/>
          <w:sz w:val="18"/>
          <w:szCs w:val="18"/>
        </w:rPr>
        <w:t xml:space="preserve"> Signal </w:t>
      </w:r>
      <w:proofErr w:type="spellStart"/>
      <w:r w:rsidRPr="00FE0C63">
        <w:rPr>
          <w:rFonts w:ascii="Arial" w:hAnsi="Arial" w:cs="Arial"/>
          <w:i/>
          <w:iCs/>
          <w:sz w:val="18"/>
          <w:szCs w:val="18"/>
        </w:rPr>
        <w:t>Transduct</w:t>
      </w:r>
      <w:proofErr w:type="spellEnd"/>
      <w:r w:rsidRPr="00FE0C63">
        <w:rPr>
          <w:rFonts w:ascii="Arial" w:hAnsi="Arial" w:cs="Arial"/>
          <w:i/>
          <w:iCs/>
          <w:sz w:val="18"/>
          <w:szCs w:val="18"/>
        </w:rPr>
        <w:t xml:space="preserve"> Res</w:t>
      </w:r>
      <w:r w:rsidRPr="00FE0C63">
        <w:rPr>
          <w:rFonts w:ascii="Arial" w:hAnsi="Arial" w:cs="Arial"/>
          <w:sz w:val="18"/>
          <w:szCs w:val="18"/>
        </w:rPr>
        <w:t xml:space="preserve">. 2020;1-9. doi:10.1080/10799893.2020.1818094.   </w:t>
      </w:r>
      <w:r w:rsidRPr="00FE0C63">
        <w:rPr>
          <w:rFonts w:ascii="Arial" w:hAnsi="Arial" w:cs="Arial"/>
          <w:b/>
          <w:bCs/>
          <w:sz w:val="18"/>
          <w:szCs w:val="18"/>
        </w:rPr>
        <w:t>4.</w:t>
      </w:r>
      <w:r w:rsidRPr="00FE0C63">
        <w:rPr>
          <w:rFonts w:ascii="Arial" w:hAnsi="Arial" w:cs="Arial"/>
          <w:sz w:val="18"/>
          <w:szCs w:val="18"/>
        </w:rPr>
        <w:t xml:space="preserve"> Olsen NJ, Decker DA, Higgins P, et al. Direct effects of HP Acthar Gel on human B lymphocyte activation in vitro. </w:t>
      </w:r>
      <w:r w:rsidRPr="00FE0C63">
        <w:rPr>
          <w:rFonts w:ascii="Arial" w:hAnsi="Arial" w:cs="Arial"/>
          <w:i/>
          <w:iCs/>
          <w:sz w:val="18"/>
          <w:szCs w:val="18"/>
        </w:rPr>
        <w:t>Arthritis Res Ther.</w:t>
      </w:r>
      <w:r w:rsidRPr="00FE0C63">
        <w:rPr>
          <w:rFonts w:ascii="Arial" w:hAnsi="Arial" w:cs="Arial"/>
          <w:sz w:val="18"/>
          <w:szCs w:val="18"/>
        </w:rPr>
        <w:t xml:space="preserve"> 2015;17:300. </w:t>
      </w:r>
      <w:r w:rsidRPr="00FE0C63">
        <w:rPr>
          <w:rFonts w:ascii="Arial" w:hAnsi="Arial" w:cs="Arial"/>
          <w:b/>
          <w:bCs/>
          <w:sz w:val="18"/>
          <w:szCs w:val="18"/>
        </w:rPr>
        <w:t>5.</w:t>
      </w:r>
      <w:r w:rsidRPr="00FE0C63">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FE0C63">
        <w:rPr>
          <w:rFonts w:ascii="Arial" w:hAnsi="Arial" w:cs="Arial"/>
          <w:i/>
          <w:iCs/>
          <w:sz w:val="18"/>
          <w:szCs w:val="18"/>
        </w:rPr>
        <w:t xml:space="preserve">Mult </w:t>
      </w:r>
      <w:proofErr w:type="spellStart"/>
      <w:r w:rsidRPr="00FE0C63">
        <w:rPr>
          <w:rFonts w:ascii="Arial" w:hAnsi="Arial" w:cs="Arial"/>
          <w:i/>
          <w:iCs/>
          <w:sz w:val="18"/>
          <w:szCs w:val="18"/>
        </w:rPr>
        <w:t>Scler</w:t>
      </w:r>
      <w:proofErr w:type="spellEnd"/>
      <w:r w:rsidRPr="00FE0C63">
        <w:rPr>
          <w:rFonts w:ascii="Arial" w:hAnsi="Arial" w:cs="Arial"/>
          <w:i/>
          <w:iCs/>
          <w:sz w:val="18"/>
          <w:szCs w:val="18"/>
        </w:rPr>
        <w:t xml:space="preserve"> J.</w:t>
      </w:r>
      <w:r w:rsidRPr="00FE0C63">
        <w:rPr>
          <w:rFonts w:ascii="Arial" w:hAnsi="Arial" w:cs="Arial"/>
          <w:sz w:val="18"/>
          <w:szCs w:val="18"/>
        </w:rPr>
        <w:t xml:space="preserve"> 2017;23:(suppl 3):777. </w:t>
      </w:r>
      <w:r w:rsidRPr="00FE0C63">
        <w:rPr>
          <w:rFonts w:ascii="Arial" w:hAnsi="Arial" w:cs="Arial"/>
          <w:b/>
          <w:bCs/>
          <w:sz w:val="18"/>
          <w:szCs w:val="18"/>
        </w:rPr>
        <w:t>6.</w:t>
      </w:r>
      <w:r w:rsidRPr="00FE0C63">
        <w:rPr>
          <w:rFonts w:ascii="Arial" w:hAnsi="Arial" w:cs="Arial"/>
          <w:sz w:val="18"/>
          <w:szCs w:val="18"/>
        </w:rPr>
        <w:t xml:space="preserve"> Benko AL, </w:t>
      </w:r>
      <w:proofErr w:type="spellStart"/>
      <w:r w:rsidRPr="00FE0C63">
        <w:rPr>
          <w:rFonts w:ascii="Arial" w:hAnsi="Arial" w:cs="Arial"/>
          <w:sz w:val="18"/>
          <w:szCs w:val="18"/>
        </w:rPr>
        <w:t>McAloose</w:t>
      </w:r>
      <w:proofErr w:type="spellEnd"/>
      <w:r w:rsidRPr="00FE0C63">
        <w:rPr>
          <w:rFonts w:ascii="Arial" w:hAnsi="Arial" w:cs="Arial"/>
          <w:sz w:val="18"/>
          <w:szCs w:val="18"/>
        </w:rPr>
        <w:t xml:space="preserve"> CA, Becker PM, Wright D, </w:t>
      </w:r>
      <w:proofErr w:type="spellStart"/>
      <w:r w:rsidRPr="00FE0C63">
        <w:rPr>
          <w:rFonts w:ascii="Arial" w:hAnsi="Arial" w:cs="Arial"/>
          <w:sz w:val="18"/>
          <w:szCs w:val="18"/>
        </w:rPr>
        <w:t>Sunyer</w:t>
      </w:r>
      <w:proofErr w:type="spellEnd"/>
      <w:r w:rsidRPr="00FE0C63">
        <w:rPr>
          <w:rFonts w:ascii="Arial" w:hAnsi="Arial" w:cs="Arial"/>
          <w:sz w:val="18"/>
          <w:szCs w:val="18"/>
        </w:rPr>
        <w:t xml:space="preserve"> T, </w:t>
      </w:r>
      <w:proofErr w:type="spellStart"/>
      <w:r w:rsidRPr="00FE0C63">
        <w:rPr>
          <w:rFonts w:ascii="Arial" w:hAnsi="Arial" w:cs="Arial"/>
          <w:sz w:val="18"/>
          <w:szCs w:val="18"/>
        </w:rPr>
        <w:t>Kawasawa</w:t>
      </w:r>
      <w:proofErr w:type="spellEnd"/>
      <w:r w:rsidRPr="00FE0C63">
        <w:rPr>
          <w:rFonts w:ascii="Arial" w:hAnsi="Arial" w:cs="Arial"/>
          <w:sz w:val="18"/>
          <w:szCs w:val="18"/>
        </w:rPr>
        <w:t xml:space="preserve"> YI, Olsen NJ, Kovacs WJ. Repository corticotrophin injection exerts direct acute effects on human B cell gene expression distinct from the actions of glucocorticoids. </w:t>
      </w:r>
      <w:r w:rsidRPr="00FE0C63">
        <w:rPr>
          <w:rFonts w:ascii="Arial" w:hAnsi="Arial" w:cs="Arial"/>
          <w:i/>
          <w:iCs/>
          <w:sz w:val="18"/>
          <w:szCs w:val="18"/>
        </w:rPr>
        <w:t>Clin Exp Immunol</w:t>
      </w:r>
      <w:r w:rsidRPr="00FE0C63">
        <w:rPr>
          <w:rFonts w:ascii="Arial" w:hAnsi="Arial" w:cs="Arial"/>
          <w:sz w:val="18"/>
          <w:szCs w:val="18"/>
        </w:rPr>
        <w:t>. 2018;192(1):68</w:t>
      </w:r>
      <w:r w:rsidRPr="00FE0C63">
        <w:rPr>
          <w:rFonts w:ascii="Cambria Math" w:hAnsi="Cambria Math" w:cs="Cambria Math"/>
          <w:sz w:val="18"/>
          <w:szCs w:val="18"/>
        </w:rPr>
        <w:t>‐</w:t>
      </w:r>
      <w:r w:rsidRPr="00FE0C63">
        <w:rPr>
          <w:rFonts w:ascii="Arial" w:hAnsi="Arial" w:cs="Arial"/>
          <w:sz w:val="18"/>
          <w:szCs w:val="18"/>
        </w:rPr>
        <w:t xml:space="preserve">81. </w:t>
      </w:r>
      <w:r w:rsidRPr="00FE0C63">
        <w:rPr>
          <w:rFonts w:ascii="Arial" w:hAnsi="Arial" w:cs="Arial"/>
          <w:b/>
          <w:bCs/>
          <w:sz w:val="18"/>
          <w:szCs w:val="18"/>
        </w:rPr>
        <w:t>7.</w:t>
      </w:r>
      <w:r w:rsidRPr="00FE0C63">
        <w:rPr>
          <w:rFonts w:ascii="Arial" w:hAnsi="Arial" w:cs="Arial"/>
          <w:sz w:val="18"/>
          <w:szCs w:val="18"/>
        </w:rPr>
        <w:t xml:space="preserve"> Benko AL, Wright AD, </w:t>
      </w:r>
      <w:proofErr w:type="spellStart"/>
      <w:r w:rsidRPr="00FE0C63">
        <w:rPr>
          <w:rFonts w:ascii="Arial" w:hAnsi="Arial" w:cs="Arial"/>
          <w:sz w:val="18"/>
          <w:szCs w:val="18"/>
        </w:rPr>
        <w:t>Sunyer</w:t>
      </w:r>
      <w:proofErr w:type="spellEnd"/>
      <w:r w:rsidRPr="00FE0C63">
        <w:rPr>
          <w:rFonts w:ascii="Arial" w:hAnsi="Arial" w:cs="Arial"/>
          <w:sz w:val="18"/>
          <w:szCs w:val="18"/>
        </w:rPr>
        <w:t xml:space="preserve"> T, Olsen NJ, Kovacs WJ. Individual pituitary neuropeptides do not recapitulate the effects of repository corticotropin [Acthar</w:t>
      </w:r>
      <w:r w:rsidRPr="00FE0C63">
        <w:rPr>
          <w:rFonts w:ascii="Arial" w:hAnsi="Arial" w:cs="Arial"/>
          <w:sz w:val="18"/>
          <w:szCs w:val="18"/>
          <w:vertAlign w:val="superscript"/>
        </w:rPr>
        <w:t>®</w:t>
      </w:r>
      <w:r w:rsidRPr="00FE0C63">
        <w:rPr>
          <w:rFonts w:ascii="Arial" w:hAnsi="Arial" w:cs="Arial"/>
          <w:sz w:val="18"/>
          <w:szCs w:val="18"/>
        </w:rPr>
        <w:t xml:space="preserve">] on human B cells in vitro. </w:t>
      </w:r>
      <w:r w:rsidRPr="00FE0C63">
        <w:rPr>
          <w:rFonts w:ascii="Arial" w:hAnsi="Arial" w:cs="Arial"/>
          <w:i/>
          <w:iCs/>
          <w:sz w:val="18"/>
          <w:szCs w:val="18"/>
        </w:rPr>
        <w:t xml:space="preserve">J </w:t>
      </w:r>
      <w:proofErr w:type="spellStart"/>
      <w:r w:rsidRPr="00FE0C63">
        <w:rPr>
          <w:rFonts w:ascii="Arial" w:hAnsi="Arial" w:cs="Arial"/>
          <w:i/>
          <w:iCs/>
          <w:sz w:val="18"/>
          <w:szCs w:val="18"/>
        </w:rPr>
        <w:t>Neuroimmunol</w:t>
      </w:r>
      <w:proofErr w:type="spellEnd"/>
      <w:r w:rsidRPr="00FE0C63">
        <w:rPr>
          <w:rFonts w:ascii="Arial" w:hAnsi="Arial" w:cs="Arial"/>
          <w:sz w:val="18"/>
          <w:szCs w:val="18"/>
        </w:rPr>
        <w:t>. 2021;353:577522.</w:t>
      </w:r>
    </w:p>
    <w:p w14:paraId="378195D5" w14:textId="77777777" w:rsidR="00793967" w:rsidRDefault="00793967"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63829023" w14:textId="70DF56BC"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D82346">
        <w:rPr>
          <w:rFonts w:ascii="Arial" w:hAnsi="Arial" w:cs="Arial"/>
          <w:color w:val="353535"/>
          <w:sz w:val="16"/>
          <w:szCs w:val="16"/>
        </w:rPr>
        <w:t>2</w:t>
      </w:r>
      <w:r w:rsidR="009D26D8">
        <w:rPr>
          <w:rFonts w:ascii="Arial" w:hAnsi="Arial" w:cs="Arial"/>
          <w:color w:val="353535"/>
          <w:sz w:val="16"/>
          <w:szCs w:val="16"/>
        </w:rPr>
        <w:t>8</w:t>
      </w:r>
      <w:r w:rsidRPr="00997CB7">
        <w:rPr>
          <w:rFonts w:ascii="Arial" w:hAnsi="Arial" w:cs="Arial"/>
          <w:sz w:val="16"/>
          <w:szCs w:val="16"/>
        </w:rPr>
        <w:t xml:space="preserve"> </w:t>
      </w:r>
      <w:r>
        <w:rPr>
          <w:rFonts w:ascii="Arial" w:hAnsi="Arial" w:cs="Arial"/>
          <w:color w:val="353535"/>
          <w:sz w:val="16"/>
          <w:szCs w:val="16"/>
        </w:rPr>
        <w:t>0</w:t>
      </w:r>
      <w:r w:rsidR="00E87498">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8"/>
      <w:footerReference w:type="first" r:id="rId19"/>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3B6A"/>
    <w:rsid w:val="000D45EB"/>
    <w:rsid w:val="000E38F2"/>
    <w:rsid w:val="000E44D5"/>
    <w:rsid w:val="000F1291"/>
    <w:rsid w:val="000F3310"/>
    <w:rsid w:val="000F6DEC"/>
    <w:rsid w:val="001038FB"/>
    <w:rsid w:val="00105CA0"/>
    <w:rsid w:val="00106D5A"/>
    <w:rsid w:val="00107810"/>
    <w:rsid w:val="001119CB"/>
    <w:rsid w:val="00111FF3"/>
    <w:rsid w:val="00115B05"/>
    <w:rsid w:val="00116183"/>
    <w:rsid w:val="00133B34"/>
    <w:rsid w:val="0014064B"/>
    <w:rsid w:val="00144C4B"/>
    <w:rsid w:val="00145D1D"/>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B06FA"/>
    <w:rsid w:val="002B1240"/>
    <w:rsid w:val="002B237C"/>
    <w:rsid w:val="002C1A8D"/>
    <w:rsid w:val="002C4A24"/>
    <w:rsid w:val="002C4C7D"/>
    <w:rsid w:val="002C5EB2"/>
    <w:rsid w:val="002D0A3D"/>
    <w:rsid w:val="002D1AF3"/>
    <w:rsid w:val="002D20D7"/>
    <w:rsid w:val="002D41CC"/>
    <w:rsid w:val="002D428E"/>
    <w:rsid w:val="002D687E"/>
    <w:rsid w:val="002E753B"/>
    <w:rsid w:val="002F1934"/>
    <w:rsid w:val="002F6BF0"/>
    <w:rsid w:val="00300B77"/>
    <w:rsid w:val="003026BB"/>
    <w:rsid w:val="003120C9"/>
    <w:rsid w:val="003134D0"/>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A7818"/>
    <w:rsid w:val="003B14AC"/>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CBC"/>
    <w:rsid w:val="00540361"/>
    <w:rsid w:val="005444BE"/>
    <w:rsid w:val="0055367E"/>
    <w:rsid w:val="005636D6"/>
    <w:rsid w:val="00565566"/>
    <w:rsid w:val="00573DDF"/>
    <w:rsid w:val="00581434"/>
    <w:rsid w:val="00584764"/>
    <w:rsid w:val="00585AE0"/>
    <w:rsid w:val="00590762"/>
    <w:rsid w:val="00591F4B"/>
    <w:rsid w:val="005933F4"/>
    <w:rsid w:val="005944A8"/>
    <w:rsid w:val="00596C0E"/>
    <w:rsid w:val="005A0CB8"/>
    <w:rsid w:val="005C29D7"/>
    <w:rsid w:val="005D4D6D"/>
    <w:rsid w:val="005D5FF9"/>
    <w:rsid w:val="005D74AB"/>
    <w:rsid w:val="005E1338"/>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E011B"/>
    <w:rsid w:val="006E1E83"/>
    <w:rsid w:val="006E22DE"/>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56CE0"/>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3D96"/>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C4FE0"/>
    <w:rsid w:val="008D5AC0"/>
    <w:rsid w:val="008D7644"/>
    <w:rsid w:val="008E1B3F"/>
    <w:rsid w:val="008E4F78"/>
    <w:rsid w:val="008F1E6F"/>
    <w:rsid w:val="008F62D2"/>
    <w:rsid w:val="008F7C2B"/>
    <w:rsid w:val="00900F85"/>
    <w:rsid w:val="00902F0F"/>
    <w:rsid w:val="009041B3"/>
    <w:rsid w:val="009053AE"/>
    <w:rsid w:val="009071B6"/>
    <w:rsid w:val="0091022C"/>
    <w:rsid w:val="00911408"/>
    <w:rsid w:val="00920021"/>
    <w:rsid w:val="00922593"/>
    <w:rsid w:val="00922AC2"/>
    <w:rsid w:val="00925E48"/>
    <w:rsid w:val="009327D1"/>
    <w:rsid w:val="0094027F"/>
    <w:rsid w:val="00942937"/>
    <w:rsid w:val="00946899"/>
    <w:rsid w:val="00953624"/>
    <w:rsid w:val="00966630"/>
    <w:rsid w:val="00970876"/>
    <w:rsid w:val="009756DD"/>
    <w:rsid w:val="00984C62"/>
    <w:rsid w:val="00991A46"/>
    <w:rsid w:val="009941D0"/>
    <w:rsid w:val="009967B0"/>
    <w:rsid w:val="00997CB7"/>
    <w:rsid w:val="009A01BC"/>
    <w:rsid w:val="009A49B3"/>
    <w:rsid w:val="009A7DC4"/>
    <w:rsid w:val="009B2B0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3EBD"/>
    <w:rsid w:val="00A97D0E"/>
    <w:rsid w:val="00AA10D6"/>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020D"/>
    <w:rsid w:val="00BE228C"/>
    <w:rsid w:val="00BE449E"/>
    <w:rsid w:val="00BF1AA3"/>
    <w:rsid w:val="00BF3032"/>
    <w:rsid w:val="00BF3A6C"/>
    <w:rsid w:val="00BF538D"/>
    <w:rsid w:val="00C03465"/>
    <w:rsid w:val="00C06923"/>
    <w:rsid w:val="00C072CB"/>
    <w:rsid w:val="00C1682C"/>
    <w:rsid w:val="00C16A1D"/>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77E8"/>
    <w:rsid w:val="00CC2E74"/>
    <w:rsid w:val="00CC44FD"/>
    <w:rsid w:val="00CC47D5"/>
    <w:rsid w:val="00CC712E"/>
    <w:rsid w:val="00CD17C6"/>
    <w:rsid w:val="00CD55FD"/>
    <w:rsid w:val="00CF40A7"/>
    <w:rsid w:val="00CF5123"/>
    <w:rsid w:val="00D06A1E"/>
    <w:rsid w:val="00D23160"/>
    <w:rsid w:val="00D27F7E"/>
    <w:rsid w:val="00D359B9"/>
    <w:rsid w:val="00D369F6"/>
    <w:rsid w:val="00D429CC"/>
    <w:rsid w:val="00D569A5"/>
    <w:rsid w:val="00D612F0"/>
    <w:rsid w:val="00D63720"/>
    <w:rsid w:val="00D643BA"/>
    <w:rsid w:val="00D644A3"/>
    <w:rsid w:val="00D74523"/>
    <w:rsid w:val="00D82346"/>
    <w:rsid w:val="00D87921"/>
    <w:rsid w:val="00D92F5E"/>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E04B2E"/>
    <w:rsid w:val="00E140B3"/>
    <w:rsid w:val="00E14A26"/>
    <w:rsid w:val="00E14E86"/>
    <w:rsid w:val="00E154ED"/>
    <w:rsid w:val="00E20A50"/>
    <w:rsid w:val="00E35FA9"/>
    <w:rsid w:val="00E37289"/>
    <w:rsid w:val="00E405FF"/>
    <w:rsid w:val="00E440B9"/>
    <w:rsid w:val="00E46C75"/>
    <w:rsid w:val="00E53BEB"/>
    <w:rsid w:val="00E543A8"/>
    <w:rsid w:val="00E559E3"/>
    <w:rsid w:val="00E64C28"/>
    <w:rsid w:val="00E66CD8"/>
    <w:rsid w:val="00E731FE"/>
    <w:rsid w:val="00E77019"/>
    <w:rsid w:val="00E834AB"/>
    <w:rsid w:val="00E8558A"/>
    <w:rsid w:val="00E87498"/>
    <w:rsid w:val="00E9300B"/>
    <w:rsid w:val="00E93D3B"/>
    <w:rsid w:val="00E94455"/>
    <w:rsid w:val="00E95D5F"/>
    <w:rsid w:val="00EA05B0"/>
    <w:rsid w:val="00EB139F"/>
    <w:rsid w:val="00EB3325"/>
    <w:rsid w:val="00EC1C3B"/>
    <w:rsid w:val="00EC46BF"/>
    <w:rsid w:val="00EC4A8F"/>
    <w:rsid w:val="00ED07BC"/>
    <w:rsid w:val="00ED4C38"/>
    <w:rsid w:val="00EE05A1"/>
    <w:rsid w:val="00EE7755"/>
    <w:rsid w:val="00EE7AE3"/>
    <w:rsid w:val="00EF0C30"/>
    <w:rsid w:val="00F026B4"/>
    <w:rsid w:val="00F044F9"/>
    <w:rsid w:val="00F1032A"/>
    <w:rsid w:val="00F16E40"/>
    <w:rsid w:val="00F26650"/>
    <w:rsid w:val="00F26E5F"/>
    <w:rsid w:val="00F32D80"/>
    <w:rsid w:val="00F35688"/>
    <w:rsid w:val="00F42307"/>
    <w:rsid w:val="00F47AF8"/>
    <w:rsid w:val="00F50593"/>
    <w:rsid w:val="00F56612"/>
    <w:rsid w:val="00F56D9A"/>
    <w:rsid w:val="00F6050C"/>
    <w:rsid w:val="00F61113"/>
    <w:rsid w:val="00F65868"/>
    <w:rsid w:val="00F66F22"/>
    <w:rsid w:val="00F70A6A"/>
    <w:rsid w:val="00F727DC"/>
    <w:rsid w:val="00F76671"/>
    <w:rsid w:val="00F776E6"/>
    <w:rsid w:val="00F8437A"/>
    <w:rsid w:val="00F84CAF"/>
    <w:rsid w:val="00F85F13"/>
    <w:rsid w:val="00F92476"/>
    <w:rsid w:val="00FA0EA9"/>
    <w:rsid w:val="00FA136A"/>
    <w:rsid w:val="00FB0DE0"/>
    <w:rsid w:val="00FB7174"/>
    <w:rsid w:val="00FC3E01"/>
    <w:rsid w:val="00FD2D54"/>
    <w:rsid w:val="00FD6CE9"/>
    <w:rsid w:val="00FD7AB1"/>
    <w:rsid w:val="00FE3380"/>
    <w:rsid w:val="00FE4DB6"/>
    <w:rsid w:val="00FE5D02"/>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ndawi.com/journals/crirh/2016/906806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vepress.com/treatment-with-repository-corticotropin-injection-in-patients-with-rhe-peer-reviewed-fulltext-article-OARRR" TargetMode="External"/><Relationship Id="rId17" Type="http://schemas.openxmlformats.org/officeDocument/2006/relationships/hyperlink" Target="https://academic.oup.com/rheumatology/advance-article-abstract/doi/10.1093/rheumatology/kead595/7371308?redirectedFrom=fulltext" TargetMode="External"/><Relationship Id="rId2" Type="http://schemas.openxmlformats.org/officeDocument/2006/relationships/customXml" Target="../customXml/item2.xml"/><Relationship Id="rId16" Type="http://schemas.openxmlformats.org/officeDocument/2006/relationships/hyperlink" Target="https://www.ncbi.nlm.nih.gov/pubmed/321603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hyperlink" Target="https://www.ncbi.nlm.nih.gov/pubmed/2923761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larispublisher.com/open-access/hp-acthar-gel-in-dermatomyositis-and-polymyositis-treatmentregistry-an-interim-analysis-2329-6895-10002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4.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2024-05-28T13:11:00Z</dcterms:created>
  <dcterms:modified xsi:type="dcterms:W3CDTF">2024-05-28T13:11:00Z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