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8C8E" w14:textId="77777777" w:rsidR="00304168" w:rsidRDefault="00304168" w:rsidP="009F73BE">
      <w:pPr>
        <w:jc w:val="center"/>
        <w:rPr>
          <w:rFonts w:ascii="Arial" w:hAnsi="Arial" w:cs="Arial"/>
          <w:b/>
          <w:caps/>
          <w:color w:val="000000" w:themeColor="text1"/>
          <w:sz w:val="22"/>
          <w:szCs w:val="22"/>
          <w:u w:val="single"/>
        </w:rPr>
      </w:pPr>
    </w:p>
    <w:p w14:paraId="530ECD28" w14:textId="5AA3B5AD" w:rsidR="00704B9C" w:rsidRPr="00DD5137" w:rsidRDefault="00704B9C" w:rsidP="009F73BE">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5C8A4BF6" w:rsidR="00DD5137" w:rsidRPr="006641B9" w:rsidRDefault="004B3505" w:rsidP="006641B9">
      <w:pPr>
        <w:spacing w:before="40" w:after="120"/>
        <w:jc w:val="center"/>
        <w:rPr>
          <w:rFonts w:ascii="Arial" w:hAnsi="Arial" w:cs="Arial"/>
          <w:b/>
          <w:bCs/>
          <w:i/>
          <w:color w:val="000000" w:themeColor="text1"/>
          <w:sz w:val="22"/>
          <w:szCs w:val="22"/>
          <w:u w:val="single"/>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6641B9">
        <w:rPr>
          <w:rFonts w:ascii="Arial" w:hAnsi="Arial" w:cs="Arial"/>
          <w:b/>
          <w:bCs/>
          <w:i/>
          <w:color w:val="000000" w:themeColor="text1"/>
          <w:sz w:val="22"/>
          <w:szCs w:val="22"/>
          <w:u w:val="single"/>
        </w:rPr>
        <w:t>Acthar</w:t>
      </w:r>
      <w:r w:rsidR="007E1F7B" w:rsidRPr="006641B9">
        <w:rPr>
          <w:rFonts w:ascii="Arial" w:hAnsi="Arial" w:cs="Arial"/>
          <w:b/>
          <w:bCs/>
          <w:i/>
          <w:color w:val="000000" w:themeColor="text1"/>
          <w:sz w:val="22"/>
          <w:szCs w:val="22"/>
          <w:u w:val="single"/>
          <w:vertAlign w:val="superscript"/>
        </w:rPr>
        <w:t>®</w:t>
      </w:r>
      <w:r w:rsidR="007E1F7B" w:rsidRPr="006641B9">
        <w:rPr>
          <w:rFonts w:ascii="Arial" w:hAnsi="Arial" w:cs="Arial"/>
          <w:b/>
          <w:bCs/>
          <w:i/>
          <w:color w:val="000000" w:themeColor="text1"/>
          <w:sz w:val="22"/>
          <w:szCs w:val="22"/>
          <w:u w:val="single"/>
        </w:rPr>
        <w:t xml:space="preserve"> Gel (repository corticotropin injection)</w:t>
      </w:r>
      <w:bookmarkEnd w:id="0"/>
      <w:r w:rsidR="006641B9" w:rsidRPr="006641B9">
        <w:rPr>
          <w:rFonts w:ascii="Arial" w:hAnsi="Arial" w:cs="Arial"/>
          <w:b/>
          <w:bCs/>
          <w:i/>
          <w:color w:val="000000" w:themeColor="text1"/>
          <w:sz w:val="22"/>
          <w:szCs w:val="22"/>
          <w:u w:val="single"/>
        </w:rPr>
        <w:t xml:space="preserve"> for the treatment of </w:t>
      </w:r>
      <w:r w:rsidR="009A408D">
        <w:rPr>
          <w:rFonts w:ascii="Arial" w:hAnsi="Arial" w:cs="Arial"/>
          <w:b/>
          <w:bCs/>
          <w:i/>
          <w:color w:val="000000" w:themeColor="text1"/>
          <w:sz w:val="22"/>
          <w:szCs w:val="22"/>
          <w:u w:val="single"/>
        </w:rPr>
        <w:t xml:space="preserve">                                               proteinuria due to </w:t>
      </w:r>
      <w:r w:rsidR="006641B9" w:rsidRPr="006641B9">
        <w:rPr>
          <w:rFonts w:ascii="Arial" w:hAnsi="Arial" w:cs="Arial"/>
          <w:b/>
          <w:bCs/>
          <w:i/>
          <w:color w:val="000000" w:themeColor="text1"/>
          <w:sz w:val="22"/>
          <w:szCs w:val="22"/>
          <w:u w:val="single"/>
        </w:rPr>
        <w:t>post-transplant FSGS</w:t>
      </w:r>
    </w:p>
    <w:p w14:paraId="067D8F5A" w14:textId="530248DE" w:rsidR="00537CBC" w:rsidRPr="00DD5137" w:rsidRDefault="00537CBC" w:rsidP="00DD5137">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DE17D4">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66323B34" w14:textId="77777777" w:rsidR="006641B9" w:rsidRDefault="00E35FA9" w:rsidP="006641B9">
      <w:pPr>
        <w:pStyle w:val="ListParagraph"/>
        <w:numPr>
          <w:ilvl w:val="0"/>
          <w:numId w:val="3"/>
        </w:numPr>
        <w:spacing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r w:rsidR="006641B9" w:rsidRPr="006641B9">
        <w:rPr>
          <w:rFonts w:ascii="Arial" w:hAnsi="Arial" w:cs="Arial"/>
          <w:i/>
          <w:color w:val="000000" w:themeColor="text1"/>
        </w:rPr>
        <w:t xml:space="preserve"> </w:t>
      </w:r>
    </w:p>
    <w:p w14:paraId="514EBD2E" w14:textId="3AEB0BD8" w:rsidR="006641B9" w:rsidRDefault="006641B9" w:rsidP="006641B9">
      <w:pPr>
        <w:pStyle w:val="ListParagraph"/>
        <w:numPr>
          <w:ilvl w:val="0"/>
          <w:numId w:val="3"/>
        </w:numPr>
        <w:spacing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09C86392" w14:textId="7779D29C" w:rsidR="00BD3189" w:rsidRPr="006641B9" w:rsidRDefault="006641B9" w:rsidP="006641B9">
      <w:pPr>
        <w:pStyle w:val="ListParagraph"/>
        <w:numPr>
          <w:ilvl w:val="0"/>
          <w:numId w:val="3"/>
        </w:numPr>
        <w:spacing w:before="40" w:after="24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43FDD2C4"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w:t>
      </w:r>
      <w:r w:rsidR="005428EC">
        <w:rPr>
          <w:rFonts w:ascii="Arial" w:eastAsia="Times New Roman" w:hAnsi="Arial" w:cs="Arial"/>
          <w:color w:val="000000"/>
        </w:rPr>
        <w:t>to induce a diuresis or a remission of proteinuria in nephrotic syndrome without uremia of the idiopathic type or that due to lupus erythematosus</w:t>
      </w:r>
      <w:r w:rsidR="00DF78DC">
        <w:rPr>
          <w:rFonts w:ascii="Arial" w:eastAsia="Times New Roman" w:hAnsi="Arial" w:cs="Arial"/>
          <w:color w:val="000000"/>
        </w:rPr>
        <w:t>.</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F26D87">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071011">
      <w:pPr>
        <w:pStyle w:val="NoSpacing"/>
        <w:spacing w:after="4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1D60BED"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59BE90D6" w14:textId="77777777" w:rsidR="00C20850" w:rsidRPr="004E4D0F" w:rsidRDefault="00C20850" w:rsidP="00C20850">
      <w:pPr>
        <w:rPr>
          <w:rFonts w:ascii="Arial" w:eastAsiaTheme="minorHAnsi" w:hAnsi="Arial" w:cs="Arial"/>
          <w:color w:val="00B0F0"/>
        </w:rPr>
      </w:pPr>
    </w:p>
    <w:p w14:paraId="7EC73FC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4CFE1ACA" w14:textId="61B4AACF" w:rsidR="006641B9" w:rsidRDefault="006641B9" w:rsidP="006641B9">
      <w:pPr>
        <w:spacing w:after="180"/>
        <w:rPr>
          <w:rFonts w:ascii="Arial" w:eastAsiaTheme="minorHAnsi" w:hAnsi="Arial" w:cs="Arial"/>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Pr="004E4D0F">
        <w:rPr>
          <w:rFonts w:ascii="Arial" w:eastAsiaTheme="minorHAnsi" w:hAnsi="Arial" w:cs="Arial"/>
        </w:rPr>
        <w:t xml:space="preserve">has been diagnosed with </w:t>
      </w:r>
      <w:r w:rsidRPr="00CD55FD">
        <w:rPr>
          <w:rFonts w:ascii="Arial" w:eastAsiaTheme="minorHAnsi" w:hAnsi="Arial" w:cs="Arial"/>
          <w:color w:val="00B0F0"/>
        </w:rPr>
        <w:t>[</w:t>
      </w:r>
      <w:r>
        <w:rPr>
          <w:rFonts w:ascii="Arial" w:eastAsiaTheme="minorHAnsi" w:hAnsi="Arial" w:cs="Arial"/>
          <w:color w:val="00B0F0"/>
        </w:rPr>
        <w:t xml:space="preserve">appropriate </w:t>
      </w:r>
      <w:r w:rsidRPr="00CD55FD">
        <w:rPr>
          <w:rFonts w:ascii="Arial" w:eastAsiaTheme="minorHAnsi" w:hAnsi="Arial" w:cs="Arial"/>
          <w:color w:val="00B0F0"/>
        </w:rPr>
        <w:t>ICD-10 code</w:t>
      </w:r>
      <w:r>
        <w:rPr>
          <w:rFonts w:ascii="Arial" w:eastAsiaTheme="minorHAnsi" w:hAnsi="Arial" w:cs="Arial"/>
          <w:color w:val="00B0F0"/>
        </w:rPr>
        <w:t>s</w:t>
      </w:r>
      <w:r w:rsidRPr="00CD55FD">
        <w:rPr>
          <w:rFonts w:ascii="Arial" w:eastAsiaTheme="minorHAnsi" w:hAnsi="Arial" w:cs="Arial"/>
          <w:color w:val="00B0F0"/>
        </w:rPr>
        <w:t xml:space="preserve"> for </w:t>
      </w:r>
      <w:r>
        <w:rPr>
          <w:rFonts w:ascii="Arial" w:eastAsiaTheme="minorHAnsi" w:hAnsi="Arial" w:cs="Arial"/>
          <w:color w:val="00B0F0"/>
        </w:rPr>
        <w:t>proteinuria due to post-transplant</w:t>
      </w:r>
      <w:r w:rsidRPr="00CD55FD">
        <w:rPr>
          <w:rFonts w:ascii="Arial" w:eastAsiaTheme="minorHAnsi" w:hAnsi="Arial" w:cs="Arial"/>
          <w:color w:val="00B0F0"/>
        </w:rPr>
        <w:t xml:space="preserve"> </w:t>
      </w:r>
      <w:r>
        <w:rPr>
          <w:rFonts w:ascii="Arial" w:eastAsiaTheme="minorHAnsi" w:hAnsi="Arial" w:cs="Arial"/>
          <w:color w:val="00B0F0"/>
        </w:rPr>
        <w:t>FSGS 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r w:rsidRPr="009B147F">
        <w:rPr>
          <w:rFonts w:ascii="Arial" w:eastAsiaTheme="minorHAnsi" w:hAnsi="Arial" w:cs="Arial"/>
        </w:rPr>
        <w:t>.</w:t>
      </w:r>
    </w:p>
    <w:p w14:paraId="4B56951E" w14:textId="77777777" w:rsidR="006641B9" w:rsidRPr="004E4D0F" w:rsidRDefault="006641B9" w:rsidP="006641B9">
      <w:pPr>
        <w:spacing w:after="180"/>
        <w:rPr>
          <w:rFonts w:ascii="Arial" w:eastAsiaTheme="minorHAnsi" w:hAnsi="Arial" w:cs="Arial"/>
        </w:rPr>
      </w:pPr>
      <w:r>
        <w:rPr>
          <w:rFonts w:ascii="Arial" w:eastAsiaTheme="minorHAnsi" w:hAnsi="Arial" w:cs="Arial"/>
        </w:rPr>
        <w:t xml:space="preserve">Additional medical diagnoses for this patient include </w:t>
      </w:r>
      <w:r w:rsidRPr="009B147F">
        <w:rPr>
          <w:rFonts w:ascii="Arial" w:eastAsiaTheme="minorHAnsi" w:hAnsi="Arial" w:cs="Arial"/>
          <w:color w:val="00B0F0"/>
        </w:rPr>
        <w:t>[include all additional relevant ICD-10 codes]</w:t>
      </w:r>
      <w:r>
        <w:rPr>
          <w:rFonts w:ascii="Arial" w:eastAsiaTheme="minorHAnsi" w:hAnsi="Arial" w:cs="Arial"/>
        </w:rPr>
        <w:t>.</w:t>
      </w:r>
    </w:p>
    <w:p w14:paraId="53A382A7" w14:textId="7993BA5E" w:rsidR="006641B9" w:rsidRPr="008D7644" w:rsidRDefault="006641B9" w:rsidP="006641B9">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Pr="009B147F">
        <w:rPr>
          <w:rFonts w:ascii="Arial" w:eastAsiaTheme="minorHAnsi" w:hAnsi="Arial" w:cs="Arial"/>
          <w:color w:val="00B0F0"/>
        </w:rPr>
        <w:t>[diagnosis (</w:t>
      </w:r>
      <w:r>
        <w:rPr>
          <w:rFonts w:ascii="Arial" w:eastAsiaTheme="minorHAnsi" w:hAnsi="Arial" w:cs="Arial"/>
          <w:color w:val="00B0F0"/>
        </w:rPr>
        <w:t>proteinuria due to post-transplant</w:t>
      </w:r>
      <w:r w:rsidRPr="009B147F">
        <w:rPr>
          <w:rFonts w:ascii="Arial" w:eastAsiaTheme="minorHAnsi" w:hAnsi="Arial" w:cs="Arial"/>
          <w:color w:val="00B0F0"/>
        </w:rPr>
        <w:t xml:space="preserve"> </w:t>
      </w:r>
      <w:r>
        <w:rPr>
          <w:rFonts w:ascii="Arial" w:eastAsiaTheme="minorHAnsi" w:hAnsi="Arial" w:cs="Arial"/>
          <w:color w:val="00B0F0"/>
        </w:rPr>
        <w:t>FSGS</w:t>
      </w:r>
      <w:r w:rsidRPr="009B147F">
        <w:rPr>
          <w:rFonts w:ascii="Arial" w:eastAsiaTheme="minorHAnsi" w:hAnsi="Arial" w:cs="Arial"/>
          <w:color w:val="00B0F0"/>
        </w:rPr>
        <w:t>)]</w:t>
      </w:r>
      <w:r>
        <w:rPr>
          <w:rFonts w:ascii="Arial" w:eastAsiaTheme="minorHAnsi" w:hAnsi="Arial" w:cs="Arial"/>
        </w:rPr>
        <w:t xml:space="preserve">, </w:t>
      </w:r>
      <w:r w:rsidRPr="004E4D0F">
        <w:rPr>
          <w:rFonts w:ascii="Arial" w:eastAsiaTheme="minorHAnsi" w:hAnsi="Arial" w:cs="Arial"/>
        </w:rPr>
        <w:t xml:space="preserve">I understand </w:t>
      </w:r>
      <w:r w:rsidRPr="004E4D0F">
        <w:rPr>
          <w:rFonts w:ascii="Arial" w:eastAsiaTheme="minorHAnsi" w:hAnsi="Arial" w:cs="Arial"/>
          <w:color w:val="00B0F0"/>
        </w:rPr>
        <w:t>[Patient Name]</w:t>
      </w:r>
      <w:r w:rsidRPr="004E4D0F">
        <w:rPr>
          <w:rFonts w:ascii="Arial" w:eastAsiaTheme="minorHAnsi" w:hAnsi="Arial" w:cs="Arial"/>
        </w:rPr>
        <w:t xml:space="preserve"> was denied approval of Acthar</w:t>
      </w:r>
      <w:r w:rsidRPr="004E4D0F">
        <w:rPr>
          <w:rFonts w:ascii="Arial" w:eastAsiaTheme="minorHAnsi" w:hAnsi="Arial" w:cs="Arial"/>
          <w:vertAlign w:val="superscript"/>
        </w:rPr>
        <w:t>®</w:t>
      </w:r>
      <w:r w:rsidRPr="004E4D0F">
        <w:rPr>
          <w:rFonts w:ascii="Arial" w:eastAsiaTheme="minorHAnsi" w:hAnsi="Arial" w:cs="Arial"/>
        </w:rPr>
        <w:t xml:space="preserve"> Gel (repository corticotropin injection) because </w:t>
      </w:r>
      <w:r w:rsidRPr="004E4D0F">
        <w:rPr>
          <w:rFonts w:ascii="Arial" w:eastAsiaTheme="minorHAnsi" w:hAnsi="Arial" w:cs="Arial"/>
          <w:color w:val="00B0F0"/>
        </w:rPr>
        <w:t>[list out reasons for denial from letter]</w:t>
      </w:r>
      <w:r w:rsidRPr="004E4D0F">
        <w:rPr>
          <w:rFonts w:ascii="Arial" w:eastAsiaTheme="minorHAnsi" w:hAnsi="Arial" w:cs="Arial"/>
        </w:rPr>
        <w:t>. As</w:t>
      </w:r>
      <w:r>
        <w:rPr>
          <w:rFonts w:ascii="Arial" w:eastAsiaTheme="minorHAnsi" w:hAnsi="Arial" w:cs="Arial"/>
        </w:rPr>
        <w:t xml:space="preserve"> their</w:t>
      </w:r>
      <w:r w:rsidRPr="004E4D0F">
        <w:rPr>
          <w:rFonts w:ascii="Arial" w:eastAsiaTheme="minorHAnsi" w:hAnsi="Arial" w:cs="Arial"/>
        </w:rPr>
        <w:t xml:space="preserve"> physician, </w:t>
      </w:r>
      <w:r>
        <w:rPr>
          <w:rFonts w:ascii="Arial" w:eastAsiaTheme="minorHAnsi" w:hAnsi="Arial" w:cs="Arial"/>
        </w:rPr>
        <w:t>it is my medical opinion that Acthar Gel</w:t>
      </w:r>
      <w:r w:rsidRPr="004E4D0F">
        <w:rPr>
          <w:rFonts w:ascii="Arial" w:eastAsiaTheme="minorHAnsi" w:hAnsi="Arial" w:cs="Arial"/>
        </w:rPr>
        <w:t xml:space="preserve"> is medically necessary and </w:t>
      </w:r>
      <w:r>
        <w:rPr>
          <w:rFonts w:ascii="Arial" w:eastAsiaTheme="minorHAnsi" w:hAnsi="Arial" w:cs="Arial"/>
        </w:rPr>
        <w:t>is an appropriate next treatment option</w:t>
      </w:r>
      <w:r w:rsidRPr="004E4D0F">
        <w:rPr>
          <w:rFonts w:ascii="Arial" w:eastAsiaTheme="minorHAnsi" w:hAnsi="Arial" w:cs="Arial"/>
        </w:rPr>
        <w:t xml:space="preserve">. </w:t>
      </w:r>
    </w:p>
    <w:p w14:paraId="42D829F1" w14:textId="77777777" w:rsidR="006641B9" w:rsidRPr="004E4D0F" w:rsidRDefault="006641B9" w:rsidP="006641B9">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already undergone or is currently undergoing the following treatments specific to their diagnosis</w:t>
      </w:r>
      <w:r w:rsidRPr="004E4D0F">
        <w:rPr>
          <w:rFonts w:ascii="Arial" w:eastAsiaTheme="minorHAnsi" w:hAnsi="Arial" w:cs="Arial"/>
        </w:rPr>
        <w:t>:</w:t>
      </w:r>
    </w:p>
    <w:p w14:paraId="79CDE441" w14:textId="77777777" w:rsidR="006641B9" w:rsidRPr="008D7644" w:rsidRDefault="006641B9" w:rsidP="006641B9">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Pr>
          <w:rFonts w:ascii="Arial" w:eastAsiaTheme="minorHAnsi" w:hAnsi="Arial" w:cs="Arial"/>
          <w:color w:val="00B0F0"/>
        </w:rPr>
        <w:t xml:space="preserve"> (e.g., rituximab, cyclosporine, cyclophosphamide, tacrolimus, MMF, diuretics); specifically, list current and past steroid use, and if steroids have not been used or cannot be used, please explain.</w:t>
      </w:r>
      <w:r w:rsidRPr="004E4D0F">
        <w:rPr>
          <w:rFonts w:ascii="Arial" w:eastAsiaTheme="minorHAnsi" w:hAnsi="Arial" w:cs="Arial"/>
          <w:color w:val="00B0F0"/>
        </w:rPr>
        <w:t xml:space="preserve"> Include </w:t>
      </w:r>
      <w:r>
        <w:rPr>
          <w:rFonts w:ascii="Arial" w:eastAsiaTheme="minorHAnsi" w:hAnsi="Arial" w:cs="Arial"/>
          <w:color w:val="00B0F0"/>
        </w:rPr>
        <w:t>the treatment name, duration (start and end date), frequency, dosage(s), and outcome(s). In addition, list any medical events or tests that occurred during treatment (e.g., hospitalizations, biopsies, labs, including proteinuria, hypoalbuminemia, edema, ACE level),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6ABA8C6B" w14:textId="77777777" w:rsidR="006641B9" w:rsidRPr="004E4D0F" w:rsidRDefault="006641B9" w:rsidP="006641B9">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Accordingly, </w:t>
      </w:r>
      <w:r w:rsidRPr="004E4D0F">
        <w:rPr>
          <w:rFonts w:ascii="Arial" w:eastAsiaTheme="minorHAnsi" w:hAnsi="Arial" w:cs="Arial"/>
          <w:color w:val="000000" w:themeColor="text1"/>
        </w:rPr>
        <w:t xml:space="preserve">I am asking for </w:t>
      </w:r>
      <w:r w:rsidRPr="006727D1">
        <w:rPr>
          <w:rFonts w:ascii="Arial" w:eastAsiaTheme="minorHAnsi" w:hAnsi="Arial" w:cs="Arial"/>
          <w:color w:val="00B0F0"/>
        </w:rPr>
        <w:t>[Payer Name]</w:t>
      </w:r>
      <w:r>
        <w:rPr>
          <w:rFonts w:ascii="Arial" w:eastAsiaTheme="minorHAnsi" w:hAnsi="Arial" w:cs="Arial"/>
          <w:color w:val="000000" w:themeColor="text1"/>
        </w:rPr>
        <w:t>’s</w:t>
      </w:r>
      <w:r w:rsidRPr="004E4D0F">
        <w:rPr>
          <w:rFonts w:ascii="Arial" w:eastAsiaTheme="minorHAnsi" w:hAnsi="Arial" w:cs="Arial"/>
          <w:color w:val="000000" w:themeColor="text1"/>
        </w:rPr>
        <w:t xml:space="preserve"> approval of Acthar </w:t>
      </w:r>
      <w:r>
        <w:rPr>
          <w:rFonts w:ascii="Arial" w:eastAsiaTheme="minorHAnsi" w:hAnsi="Arial" w:cs="Arial"/>
          <w:color w:val="000000" w:themeColor="text1"/>
        </w:rPr>
        <w:t xml:space="preserve">for </w:t>
      </w:r>
      <w:r w:rsidRPr="006727D1">
        <w:rPr>
          <w:rFonts w:ascii="Arial" w:eastAsiaTheme="minorHAnsi" w:hAnsi="Arial" w:cs="Arial"/>
          <w:color w:val="00B0F0"/>
        </w:rPr>
        <w:t>[Patient Name]</w:t>
      </w:r>
      <w:r>
        <w:rPr>
          <w:rFonts w:ascii="Arial" w:eastAsiaTheme="minorHAnsi" w:hAnsi="Arial" w:cs="Arial"/>
          <w:color w:val="000000" w:themeColor="text1"/>
        </w:rPr>
        <w:t xml:space="preserve"> </w:t>
      </w:r>
      <w:r w:rsidRPr="004E4D0F">
        <w:rPr>
          <w:rFonts w:ascii="Arial" w:eastAsiaTheme="minorHAnsi" w:hAnsi="Arial" w:cs="Arial"/>
          <w:color w:val="000000" w:themeColor="text1"/>
        </w:rPr>
        <w:t xml:space="preserve">because </w:t>
      </w:r>
      <w:r>
        <w:rPr>
          <w:rFonts w:ascii="Arial" w:eastAsiaTheme="minorHAnsi" w:hAnsi="Arial" w:cs="Arial"/>
          <w:color w:val="000000" w:themeColor="text1"/>
        </w:rPr>
        <w:t xml:space="preserve">it is my medical opinion that Acthar is an appropriate option for </w:t>
      </w:r>
      <w:r w:rsidRPr="006727D1">
        <w:rPr>
          <w:rFonts w:ascii="Arial" w:eastAsiaTheme="minorHAnsi" w:hAnsi="Arial" w:cs="Arial"/>
          <w:color w:val="00B0F0"/>
        </w:rPr>
        <w:t>[Patient Name]</w:t>
      </w:r>
      <w:r>
        <w:rPr>
          <w:rFonts w:ascii="Arial" w:eastAsiaTheme="minorHAnsi" w:hAnsi="Arial" w:cs="Arial"/>
          <w:color w:val="000000" w:themeColor="text1"/>
        </w:rPr>
        <w:t xml:space="preserve">’s condition and may provide the desired positive outcome for </w:t>
      </w:r>
      <w:r w:rsidRPr="006727D1">
        <w:rPr>
          <w:rFonts w:ascii="Arial" w:eastAsiaTheme="minorHAnsi" w:hAnsi="Arial" w:cs="Arial"/>
          <w:color w:val="00B0F0"/>
        </w:rPr>
        <w:t>[Patient Name]</w:t>
      </w:r>
      <w:r>
        <w:rPr>
          <w:rFonts w:ascii="Arial" w:eastAsiaTheme="minorHAnsi" w:hAnsi="Arial" w:cs="Arial"/>
          <w:color w:val="000000" w:themeColor="text1"/>
        </w:rPr>
        <w:t xml:space="preserve"> 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11A9D9FD" w14:textId="77777777" w:rsidR="006641B9" w:rsidRPr="008D7644" w:rsidRDefault="006641B9" w:rsidP="006641B9">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3C1C6EB7" w14:textId="77777777" w:rsidR="006641B9" w:rsidRPr="004E4D0F" w:rsidRDefault="006641B9" w:rsidP="006641B9">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29D037FA" w14:textId="77777777" w:rsidR="006641B9" w:rsidRPr="004E4D0F" w:rsidRDefault="006641B9" w:rsidP="006641B9">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4BEE7EB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Sincerely,</w:t>
      </w:r>
    </w:p>
    <w:p w14:paraId="177FEE33" w14:textId="7878F535" w:rsidR="002A6A9D" w:rsidRDefault="00C20850" w:rsidP="00C20850">
      <w:pPr>
        <w:autoSpaceDE w:val="0"/>
        <w:autoSpaceDN w:val="0"/>
        <w:adjustRightInd w:val="0"/>
        <w:spacing w:after="180"/>
        <w:rPr>
          <w:rFonts w:ascii="Arial" w:eastAsiaTheme="minorHAnsi" w:hAnsi="Arial" w:cs="Arial"/>
          <w:color w:val="00B1F1"/>
        </w:rPr>
      </w:pPr>
      <w:r w:rsidRPr="004E4D0F">
        <w:rPr>
          <w:rFonts w:ascii="Arial" w:eastAsiaTheme="minorHAnsi" w:hAnsi="Arial" w:cs="Arial"/>
          <w:color w:val="00B1F1"/>
        </w:rPr>
        <w:t>[Physician name, MD]</w:t>
      </w:r>
    </w:p>
    <w:p w14:paraId="5363FBF9" w14:textId="77777777" w:rsidR="002A6A9D" w:rsidRDefault="002A6A9D">
      <w:pPr>
        <w:spacing w:after="160" w:line="259" w:lineRule="auto"/>
        <w:rPr>
          <w:rFonts w:ascii="Arial" w:eastAsiaTheme="minorHAnsi" w:hAnsi="Arial" w:cs="Arial"/>
          <w:color w:val="00B1F1"/>
        </w:rPr>
      </w:pPr>
      <w:r>
        <w:rPr>
          <w:rFonts w:ascii="Arial" w:eastAsiaTheme="minorHAnsi" w:hAnsi="Arial" w:cs="Arial"/>
          <w:color w:val="00B1F1"/>
        </w:rPr>
        <w:br w:type="page"/>
      </w:r>
    </w:p>
    <w:p w14:paraId="21E1EB74" w14:textId="77777777" w:rsidR="00C20850" w:rsidRDefault="00C20850" w:rsidP="00C20850">
      <w:pPr>
        <w:spacing w:after="160" w:line="259" w:lineRule="auto"/>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07B13515" w14:textId="5785E9F1" w:rsidR="009F73BE" w:rsidRDefault="009F73BE" w:rsidP="00C20850">
      <w:pPr>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several available studies are included as links below. Please consider downloading and attaching the relevant studies to further support the submission of your LMN. </w:t>
      </w:r>
    </w:p>
    <w:p w14:paraId="56337B83" w14:textId="77777777" w:rsidR="00C20850" w:rsidRPr="00C20850" w:rsidRDefault="00C20850" w:rsidP="00C20850">
      <w:pPr>
        <w:rPr>
          <w:rFonts w:ascii="Arial" w:hAnsi="Arial" w:cs="Arial"/>
          <w:sz w:val="22"/>
          <w:szCs w:val="22"/>
        </w:rPr>
      </w:pPr>
    </w:p>
    <w:p w14:paraId="517BF71D" w14:textId="03418EEC" w:rsidR="000E0C54" w:rsidRPr="00A10BDE" w:rsidRDefault="00A10BDE" w:rsidP="00CB58C2">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r>
        <w:rPr>
          <w:rStyle w:val="Hyperlink"/>
          <w:rFonts w:ascii="Arial" w:hAnsi="Arial" w:cs="Arial"/>
          <w:color w:val="auto"/>
          <w:kern w:val="0"/>
          <w:sz w:val="22"/>
          <w:szCs w:val="22"/>
          <w:u w:val="none"/>
        </w:rPr>
        <w:t>Multicenter Retrospective Case Series with Patients Treated with Acthar Gel Across Several Nephrotic Syndrome Etiologies (Madan)</w:t>
      </w:r>
      <w:r w:rsidR="00CB58C2">
        <w:rPr>
          <w:rStyle w:val="Hyperlink"/>
          <w:rFonts w:ascii="Arial" w:hAnsi="Arial" w:cs="Arial"/>
          <w:color w:val="auto"/>
          <w:kern w:val="0"/>
          <w:sz w:val="22"/>
          <w:szCs w:val="22"/>
          <w:u w:val="none"/>
        </w:rPr>
        <w:t>:</w:t>
      </w:r>
      <w:r>
        <w:rPr>
          <w:rStyle w:val="Hyperlink"/>
          <w:rFonts w:ascii="Arial" w:hAnsi="Arial" w:cs="Arial"/>
          <w:color w:val="auto"/>
          <w:kern w:val="0"/>
          <w:sz w:val="22"/>
          <w:szCs w:val="22"/>
          <w:u w:val="none"/>
        </w:rPr>
        <w:t xml:space="preserve"> </w:t>
      </w:r>
      <w:hyperlink r:id="rId12" w:history="1">
        <w:r w:rsidRPr="00A10BDE">
          <w:rPr>
            <w:rStyle w:val="Hyperlink"/>
            <w:rFonts w:ascii="Arial" w:hAnsi="Arial" w:cs="Arial"/>
            <w:b w:val="0"/>
            <w:bCs w:val="0"/>
            <w:i/>
            <w:iCs/>
            <w:kern w:val="0"/>
            <w:sz w:val="22"/>
            <w:szCs w:val="22"/>
          </w:rPr>
          <w:t>Acthar Gel in the Treatment of Nephrotic Syndrome: A Multicenter Retrospective Case Series</w:t>
        </w:r>
      </w:hyperlink>
    </w:p>
    <w:p w14:paraId="47EBFCBC" w14:textId="77777777" w:rsidR="000E0C54" w:rsidRDefault="000E0C54" w:rsidP="00CB58C2">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p>
    <w:p w14:paraId="7B07A36E" w14:textId="0B0077A9" w:rsidR="005428EC" w:rsidRDefault="00304168" w:rsidP="005C264A">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r>
        <w:rPr>
          <w:rStyle w:val="Hyperlink"/>
          <w:rFonts w:ascii="Arial" w:hAnsi="Arial" w:cs="Arial"/>
          <w:color w:val="auto"/>
          <w:kern w:val="0"/>
          <w:sz w:val="22"/>
          <w:szCs w:val="22"/>
          <w:u w:val="none"/>
        </w:rPr>
        <w:t xml:space="preserve">Retrospective Study in Patients with FSGS Who Received Acthar Gel as First Line or Subsequent Therapy (Filippone): </w:t>
      </w:r>
      <w:hyperlink r:id="rId13" w:history="1">
        <w:r w:rsidRPr="00304168">
          <w:rPr>
            <w:rStyle w:val="Hyperlink"/>
            <w:rFonts w:ascii="Arial" w:hAnsi="Arial" w:cs="Arial"/>
            <w:b w:val="0"/>
            <w:bCs w:val="0"/>
            <w:i/>
            <w:iCs/>
            <w:kern w:val="0"/>
            <w:sz w:val="22"/>
            <w:szCs w:val="22"/>
          </w:rPr>
          <w:t>Adrenocorticotropic Hormone Analog Use for Podocytopathies</w:t>
        </w:r>
      </w:hyperlink>
    </w:p>
    <w:p w14:paraId="5FFE467C" w14:textId="77777777" w:rsidR="005C264A" w:rsidRDefault="005C264A" w:rsidP="005C264A">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p>
    <w:p w14:paraId="75D5B8E1" w14:textId="050D718B" w:rsidR="005C264A" w:rsidRPr="005C264A" w:rsidRDefault="005C264A" w:rsidP="005C264A">
      <w:pPr>
        <w:pStyle w:val="Heading1"/>
        <w:shd w:val="clear" w:color="auto" w:fill="FFFFFF"/>
        <w:spacing w:before="0" w:beforeAutospacing="0" w:after="0" w:afterAutospacing="0" w:line="276" w:lineRule="atLeast"/>
        <w:rPr>
          <w:rFonts w:ascii="Arial" w:hAnsi="Arial" w:cs="Arial"/>
          <w:b w:val="0"/>
          <w:bCs w:val="0"/>
          <w:kern w:val="0"/>
          <w:sz w:val="22"/>
          <w:szCs w:val="22"/>
        </w:rPr>
      </w:pPr>
      <w:r w:rsidRPr="005C264A">
        <w:rPr>
          <w:rStyle w:val="Hyperlink"/>
          <w:rFonts w:ascii="Arial" w:hAnsi="Arial" w:cs="Arial"/>
          <w:color w:val="auto"/>
          <w:kern w:val="0"/>
          <w:sz w:val="22"/>
          <w:szCs w:val="22"/>
          <w:u w:val="none"/>
        </w:rPr>
        <w:t>Largest retrospective dataset on Acthar Gel for the treatment of proteinuria in 20 patients with post-transplant FSGS (Alhamad):</w:t>
      </w:r>
      <w:r>
        <w:rPr>
          <w:rStyle w:val="Hyperlink"/>
          <w:rFonts w:ascii="Arial" w:hAnsi="Arial" w:cs="Arial"/>
          <w:b w:val="0"/>
          <w:bCs w:val="0"/>
          <w:color w:val="auto"/>
          <w:kern w:val="0"/>
          <w:sz w:val="22"/>
          <w:szCs w:val="22"/>
          <w:u w:val="none"/>
        </w:rPr>
        <w:t xml:space="preserve"> </w:t>
      </w:r>
      <w:hyperlink r:id="rId14" w:history="1">
        <w:r w:rsidRPr="005C264A">
          <w:rPr>
            <w:rStyle w:val="Hyperlink"/>
            <w:rFonts w:ascii="Arial" w:hAnsi="Arial" w:cs="Arial"/>
            <w:b w:val="0"/>
            <w:bCs w:val="0"/>
            <w:i/>
            <w:iCs/>
            <w:kern w:val="0"/>
            <w:sz w:val="22"/>
            <w:szCs w:val="22"/>
          </w:rPr>
          <w:t>ACTH Gel in Resistant Focal Segmental Glomerulosclerosis After Kidney Transplantation</w:t>
        </w:r>
      </w:hyperlink>
    </w:p>
    <w:p w14:paraId="2BAD04DB" w14:textId="5C15293B" w:rsidR="005428EC" w:rsidRDefault="005428EC" w:rsidP="005428EC">
      <w:pPr>
        <w:tabs>
          <w:tab w:val="left" w:pos="1080"/>
        </w:tabs>
        <w:autoSpaceDE w:val="0"/>
        <w:autoSpaceDN w:val="0"/>
        <w:adjustRightInd w:val="0"/>
        <w:rPr>
          <w:rFonts w:ascii="Arial" w:hAnsi="Arial" w:cs="Arial"/>
          <w:b/>
          <w:iCs/>
          <w:color w:val="000000" w:themeColor="text1"/>
          <w:sz w:val="22"/>
          <w:szCs w:val="22"/>
        </w:rPr>
      </w:pPr>
      <w:r w:rsidRPr="009F73BE">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5A94BCF" wp14:editId="26014371">
                <wp:simplePos x="0" y="0"/>
                <wp:positionH relativeFrom="column">
                  <wp:posOffset>-66675</wp:posOffset>
                </wp:positionH>
                <wp:positionV relativeFrom="paragraph">
                  <wp:posOffset>90170</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164DF" id="Rectangle 1" o:spid="_x0000_s1026" style="position:absolute;margin-left:-5.25pt;margin-top:7.1pt;width:5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" filled="f" strokecolor="black [3213]" strokeweight="1.5pt"/>
            </w:pict>
          </mc:Fallback>
        </mc:AlternateContent>
      </w:r>
    </w:p>
    <w:p w14:paraId="176CE258" w14:textId="77777777" w:rsidR="005428EC" w:rsidRPr="009941D0" w:rsidRDefault="005428EC" w:rsidP="005428EC">
      <w:pPr>
        <w:tabs>
          <w:tab w:val="left" w:pos="1080"/>
        </w:tabs>
        <w:autoSpaceDE w:val="0"/>
        <w:autoSpaceDN w:val="0"/>
        <w:adjustRightInd w:val="0"/>
        <w:rPr>
          <w:rFonts w:ascii="Arial" w:hAnsi="Arial" w:cs="Arial"/>
          <w:b/>
          <w:iCs/>
          <w:color w:val="000000" w:themeColor="text1"/>
          <w:sz w:val="22"/>
          <w:szCs w:val="22"/>
        </w:rPr>
      </w:pPr>
      <w:r>
        <w:rPr>
          <w:rFonts w:ascii="Arial" w:hAnsi="Arial" w:cs="Arial"/>
          <w:b/>
          <w:iCs/>
          <w:color w:val="000000" w:themeColor="text1"/>
          <w:sz w:val="22"/>
          <w:szCs w:val="22"/>
        </w:rPr>
        <w:t>S</w:t>
      </w:r>
      <w:r w:rsidRPr="009941D0">
        <w:rPr>
          <w:rFonts w:ascii="Arial" w:hAnsi="Arial" w:cs="Arial"/>
          <w:b/>
          <w:iCs/>
          <w:color w:val="000000" w:themeColor="text1"/>
          <w:sz w:val="22"/>
          <w:szCs w:val="22"/>
        </w:rPr>
        <w:t>tudy limitations: The efficacy and safety results discussed may not be representative of the overall patient population. The clinical outcomes for the patients discussed may not be solely attributable to Acthar Gel.</w:t>
      </w:r>
    </w:p>
    <w:p w14:paraId="207F93EA" w14:textId="77777777" w:rsidR="005428EC" w:rsidRDefault="005428EC" w:rsidP="00793967">
      <w:pPr>
        <w:tabs>
          <w:tab w:val="left" w:pos="2344"/>
        </w:tabs>
        <w:spacing w:after="120"/>
        <w:rPr>
          <w:rFonts w:ascii="Arial" w:hAnsi="Arial" w:cs="Arial"/>
          <w:sz w:val="22"/>
          <w:szCs w:val="22"/>
          <w:u w:val="single"/>
        </w:rPr>
      </w:pPr>
    </w:p>
    <w:p w14:paraId="5A05BC68" w14:textId="6EF6FC71"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313DF48E" w14:textId="0F8850C3" w:rsidR="00197D5C" w:rsidRDefault="00793967" w:rsidP="00197D5C">
      <w:pPr>
        <w:pStyle w:val="ListParagraph"/>
        <w:numPr>
          <w:ilvl w:val="1"/>
          <w:numId w:val="4"/>
        </w:numPr>
        <w:spacing w:after="240" w:line="257" w:lineRule="auto"/>
        <w:rPr>
          <w:rFonts w:ascii="Arial" w:hAnsi="Arial" w:cs="Arial"/>
        </w:rPr>
      </w:pPr>
      <w:r w:rsidRPr="000E5EE1">
        <w:rPr>
          <w:rFonts w:ascii="Arial" w:hAnsi="Arial" w:cs="Arial"/>
        </w:rPr>
        <w:t>Acthar</w:t>
      </w:r>
      <w:r w:rsidRPr="003144E6">
        <w:rPr>
          <w:rFonts w:ascii="Arial" w:hAnsi="Arial" w:cs="Arial"/>
          <w:vertAlign w:val="superscript"/>
        </w:rPr>
        <w:t>®</w:t>
      </w:r>
      <w:r w:rsidRPr="000E5EE1">
        <w:rPr>
          <w:rFonts w:ascii="Arial" w:hAnsi="Arial" w:cs="Arial"/>
        </w:rPr>
        <w:t xml:space="preserve"> Gel (repository corticotropin injection) is </w:t>
      </w:r>
      <w:r w:rsidR="00197D5C">
        <w:rPr>
          <w:rFonts w:ascii="Arial" w:hAnsi="Arial" w:cs="Arial"/>
        </w:rPr>
        <w:t xml:space="preserve">indicated </w:t>
      </w:r>
      <w:r w:rsidR="005428EC">
        <w:rPr>
          <w:rFonts w:ascii="Arial" w:hAnsi="Arial" w:cs="Arial"/>
        </w:rPr>
        <w:t>to induce a diuresis or a remission of proteinuria in nephrotic syndrome without uremia of the idiopathic type or that due to lupus erythematosus</w:t>
      </w:r>
      <w:r w:rsidR="00197D5C" w:rsidRPr="00197D5C">
        <w:rPr>
          <w:rFonts w:ascii="Arial" w:hAnsi="Arial" w:cs="Arial"/>
        </w:rPr>
        <w:t>.</w:t>
      </w:r>
      <w:r w:rsidRPr="00197D5C">
        <w:rPr>
          <w:rFonts w:ascii="Arial" w:hAnsi="Arial" w:cs="Arial"/>
          <w:vertAlign w:val="superscript"/>
        </w:rPr>
        <w:t>1</w:t>
      </w:r>
    </w:p>
    <w:p w14:paraId="465C06B3" w14:textId="77777777" w:rsidR="00197D5C" w:rsidRPr="00197D5C" w:rsidRDefault="00197D5C" w:rsidP="00197D5C">
      <w:pPr>
        <w:pStyle w:val="ListParagraph"/>
        <w:spacing w:after="240" w:line="257" w:lineRule="auto"/>
        <w:rPr>
          <w:rFonts w:ascii="Arial" w:hAnsi="Arial" w:cs="Arial"/>
        </w:rPr>
      </w:pPr>
    </w:p>
    <w:p w14:paraId="044742DF" w14:textId="77777777" w:rsidR="006641B9" w:rsidRPr="00393812" w:rsidRDefault="006641B9" w:rsidP="006641B9">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3CDD133E" w14:textId="77777777" w:rsidR="006641B9" w:rsidRPr="005428EC" w:rsidRDefault="006641B9" w:rsidP="006641B9">
      <w:pPr>
        <w:rPr>
          <w:rFonts w:ascii="Arial" w:hAnsi="Arial" w:cs="Arial"/>
          <w:b/>
          <w:bCs/>
          <w:iCs/>
          <w:sz w:val="22"/>
          <w:szCs w:val="22"/>
        </w:rPr>
      </w:pPr>
      <w:r w:rsidRPr="000E5EE1">
        <w:rPr>
          <w:rFonts w:ascii="Arial" w:hAnsi="Arial" w:cs="Arial"/>
          <w:b/>
          <w:bCs/>
          <w:iCs/>
          <w:sz w:val="22"/>
          <w:szCs w:val="22"/>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08380E23" w14:textId="77777777" w:rsidR="006641B9" w:rsidRDefault="006641B9" w:rsidP="006641B9">
      <w:pPr>
        <w:rPr>
          <w:rFonts w:ascii="Arial" w:hAnsi="Arial" w:cs="Arial"/>
          <w:b/>
          <w:sz w:val="18"/>
          <w:szCs w:val="18"/>
        </w:rPr>
      </w:pPr>
    </w:p>
    <w:p w14:paraId="69831BAB" w14:textId="541F51F9" w:rsidR="006641B9" w:rsidRDefault="006641B9" w:rsidP="006641B9">
      <w:pPr>
        <w:autoSpaceDE w:val="0"/>
        <w:autoSpaceDN w:val="0"/>
        <w:adjustRightInd w:val="0"/>
        <w:rPr>
          <w:rFonts w:ascii="Arial" w:hAnsi="Arial" w:cs="Arial"/>
          <w:b/>
          <w:i/>
          <w:color w:val="000000" w:themeColor="text1"/>
          <w:sz w:val="22"/>
          <w:szCs w:val="22"/>
        </w:rPr>
      </w:pPr>
      <w:r w:rsidRPr="00393812">
        <w:rPr>
          <w:rFonts w:ascii="Arial" w:hAnsi="Arial" w:cs="Arial"/>
          <w:b/>
          <w:sz w:val="18"/>
          <w:szCs w:val="18"/>
        </w:rPr>
        <w:t xml:space="preserve">References: 1. </w:t>
      </w:r>
      <w:r w:rsidRPr="00393812">
        <w:rPr>
          <w:rFonts w:ascii="Arial" w:hAnsi="Arial" w:cs="Arial"/>
          <w:sz w:val="18"/>
          <w:szCs w:val="18"/>
        </w:rPr>
        <w:t xml:space="preserve">Acthar® Gel (repository corticotropin injection) [prescribing information]. </w:t>
      </w:r>
      <w:r w:rsidR="009E3D3C">
        <w:rPr>
          <w:rFonts w:ascii="Arial" w:hAnsi="Arial" w:cs="Arial"/>
          <w:sz w:val="18"/>
          <w:szCs w:val="18"/>
        </w:rPr>
        <w:t>B</w:t>
      </w:r>
      <w:r w:rsidR="003F3286">
        <w:rPr>
          <w:rFonts w:ascii="Arial" w:hAnsi="Arial" w:cs="Arial"/>
          <w:sz w:val="18"/>
          <w:szCs w:val="18"/>
        </w:rPr>
        <w:t>ridgewater</w:t>
      </w:r>
      <w:r>
        <w:rPr>
          <w:rFonts w:ascii="Arial" w:hAnsi="Arial" w:cs="Arial"/>
          <w:sz w:val="18"/>
          <w:szCs w:val="18"/>
        </w:rPr>
        <w:t>, NJ: Mallinckrodt Pharmaceuticals.</w:t>
      </w:r>
      <w:r w:rsidRPr="00393812">
        <w:rPr>
          <w:rFonts w:ascii="Arial" w:hAnsi="Arial" w:cs="Arial"/>
          <w:sz w:val="18"/>
          <w:szCs w:val="18"/>
        </w:rPr>
        <w:t xml:space="preserve"> </w:t>
      </w:r>
      <w:r w:rsidRPr="00BF142D">
        <w:rPr>
          <w:rFonts w:ascii="Arial" w:hAnsi="Arial" w:cs="Arial"/>
          <w:b/>
          <w:bCs/>
          <w:sz w:val="18"/>
          <w:szCs w:val="18"/>
        </w:rPr>
        <w:t>2.</w:t>
      </w:r>
      <w:r w:rsidRPr="00393812">
        <w:rPr>
          <w:rFonts w:ascii="Arial" w:hAnsi="Arial" w:cs="Arial"/>
          <w:sz w:val="18"/>
          <w:szCs w:val="18"/>
        </w:rPr>
        <w:t xml:space="preserve"> Catania A, Lonati C, Sordi A, Carlin A, Leonardi P, Gatti S. The melanocortin system in control of inflammation. </w:t>
      </w:r>
      <w:r w:rsidRPr="00393812">
        <w:rPr>
          <w:rFonts w:ascii="Arial" w:hAnsi="Arial" w:cs="Arial"/>
          <w:i/>
          <w:iCs/>
          <w:sz w:val="18"/>
          <w:szCs w:val="18"/>
        </w:rPr>
        <w:t>Scientific</w:t>
      </w:r>
      <w:r>
        <w:rPr>
          <w:rFonts w:ascii="Arial" w:hAnsi="Arial" w:cs="Arial"/>
          <w:i/>
          <w:iCs/>
          <w:sz w:val="18"/>
          <w:szCs w:val="18"/>
        </w:rPr>
        <w:t xml:space="preserve"> </w:t>
      </w:r>
      <w:r w:rsidRPr="00393812">
        <w:rPr>
          <w:rFonts w:ascii="Arial" w:hAnsi="Arial" w:cs="Arial"/>
          <w:i/>
          <w:iCs/>
          <w:sz w:val="18"/>
          <w:szCs w:val="18"/>
        </w:rPr>
        <w:t>World</w:t>
      </w:r>
      <w:r>
        <w:rPr>
          <w:rFonts w:ascii="Arial" w:hAnsi="Arial" w:cs="Arial"/>
          <w:i/>
          <w:iCs/>
          <w:sz w:val="18"/>
          <w:szCs w:val="18"/>
        </w:rPr>
        <w:t xml:space="preserve"> </w:t>
      </w:r>
      <w:r w:rsidRPr="00393812">
        <w:rPr>
          <w:rFonts w:ascii="Arial" w:hAnsi="Arial" w:cs="Arial"/>
          <w:i/>
          <w:iCs/>
          <w:sz w:val="18"/>
          <w:szCs w:val="18"/>
        </w:rPr>
        <w:t>Journal.</w:t>
      </w:r>
      <w:r w:rsidRPr="00393812">
        <w:rPr>
          <w:rFonts w:ascii="Arial" w:hAnsi="Arial" w:cs="Arial"/>
          <w:sz w:val="18"/>
          <w:szCs w:val="18"/>
        </w:rPr>
        <w:t xml:space="preserve"> 2010;10:1840-1853. </w:t>
      </w:r>
      <w:r w:rsidRPr="00BF142D">
        <w:rPr>
          <w:rFonts w:ascii="Arial" w:hAnsi="Arial" w:cs="Arial"/>
          <w:b/>
          <w:bCs/>
          <w:sz w:val="18"/>
          <w:szCs w:val="18"/>
        </w:rPr>
        <w:t>3.</w:t>
      </w:r>
      <w:r w:rsidRPr="00393812">
        <w:rPr>
          <w:rFonts w:ascii="Arial" w:hAnsi="Arial" w:cs="Arial"/>
          <w:sz w:val="18"/>
          <w:szCs w:val="18"/>
        </w:rPr>
        <w:t xml:space="preserve"> Huang YJ, Galen K, Zweifel B, Brooks LR, Wright AD. Distinct binding and signaling activity of Acthar Gel compared to other melanocortin receptor agonists. </w:t>
      </w:r>
      <w:r w:rsidRPr="00393812">
        <w:rPr>
          <w:rFonts w:ascii="Arial" w:hAnsi="Arial" w:cs="Arial"/>
          <w:i/>
          <w:iCs/>
          <w:sz w:val="18"/>
          <w:szCs w:val="18"/>
        </w:rPr>
        <w:t>J Recept Signal Transduct Res</w:t>
      </w:r>
      <w:r w:rsidRPr="00393812">
        <w:rPr>
          <w:rFonts w:ascii="Arial" w:hAnsi="Arial" w:cs="Arial"/>
          <w:sz w:val="18"/>
          <w:szCs w:val="18"/>
        </w:rPr>
        <w:t xml:space="preserve">. 2020;1-9. doi:10.1080/10799893.2020.1818094. </w:t>
      </w:r>
      <w:r>
        <w:rPr>
          <w:rFonts w:ascii="Arial" w:hAnsi="Arial" w:cs="Arial"/>
          <w:sz w:val="18"/>
          <w:szCs w:val="18"/>
        </w:rPr>
        <w:t xml:space="preserve">  </w:t>
      </w:r>
      <w:r w:rsidRPr="00BF142D">
        <w:rPr>
          <w:rFonts w:ascii="Arial" w:hAnsi="Arial" w:cs="Arial"/>
          <w:b/>
          <w:bCs/>
          <w:sz w:val="18"/>
          <w:szCs w:val="18"/>
        </w:rPr>
        <w:t>4.</w:t>
      </w:r>
      <w:r w:rsidRPr="00393812">
        <w:rPr>
          <w:rFonts w:ascii="Arial" w:hAnsi="Arial" w:cs="Arial"/>
          <w:sz w:val="18"/>
          <w:szCs w:val="18"/>
        </w:rPr>
        <w:t xml:space="preserve"> Olsen NJ, Decker DA, Higgins P, et al. Direct effects of HP Acthar Gel on human B lymphocyte activation in vitro. </w:t>
      </w:r>
      <w:r w:rsidRPr="00393812">
        <w:rPr>
          <w:rFonts w:ascii="Arial" w:hAnsi="Arial" w:cs="Arial"/>
          <w:i/>
          <w:iCs/>
          <w:sz w:val="18"/>
          <w:szCs w:val="18"/>
        </w:rPr>
        <w:t>Arthritis Res Ther.</w:t>
      </w:r>
      <w:r w:rsidRPr="00393812">
        <w:rPr>
          <w:rFonts w:ascii="Arial" w:hAnsi="Arial" w:cs="Arial"/>
          <w:sz w:val="18"/>
          <w:szCs w:val="18"/>
        </w:rPr>
        <w:t xml:space="preserve"> 2015;17:300. </w:t>
      </w:r>
      <w:r w:rsidRPr="00936E5B">
        <w:rPr>
          <w:rFonts w:ascii="Arial" w:hAnsi="Arial" w:cs="Arial"/>
          <w:b/>
          <w:bCs/>
          <w:sz w:val="18"/>
          <w:szCs w:val="18"/>
        </w:rPr>
        <w:t>5.</w:t>
      </w:r>
      <w:r w:rsidRPr="00936E5B">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936E5B">
        <w:rPr>
          <w:rFonts w:ascii="Arial" w:hAnsi="Arial" w:cs="Arial"/>
          <w:i/>
          <w:iCs/>
          <w:sz w:val="18"/>
          <w:szCs w:val="18"/>
        </w:rPr>
        <w:t>Mult Scler J.</w:t>
      </w:r>
      <w:r w:rsidRPr="00936E5B">
        <w:rPr>
          <w:rFonts w:ascii="Arial" w:hAnsi="Arial" w:cs="Arial"/>
          <w:sz w:val="18"/>
          <w:szCs w:val="18"/>
        </w:rPr>
        <w:t xml:space="preserve"> 2017;23:(suppl 3):777</w:t>
      </w:r>
      <w:r>
        <w:rPr>
          <w:rFonts w:ascii="Arial" w:hAnsi="Arial" w:cs="Arial"/>
          <w:sz w:val="18"/>
          <w:szCs w:val="18"/>
        </w:rPr>
        <w:t xml:space="preserve">. </w:t>
      </w:r>
      <w:r>
        <w:rPr>
          <w:rFonts w:ascii="Arial" w:hAnsi="Arial" w:cs="Arial"/>
          <w:b/>
          <w:bCs/>
          <w:sz w:val="18"/>
          <w:szCs w:val="18"/>
        </w:rPr>
        <w:t>6</w:t>
      </w:r>
      <w:r w:rsidRPr="00BF142D">
        <w:rPr>
          <w:rFonts w:ascii="Arial" w:hAnsi="Arial" w:cs="Arial"/>
          <w:b/>
          <w:bCs/>
          <w:sz w:val="18"/>
          <w:szCs w:val="18"/>
        </w:rPr>
        <w:t>.</w:t>
      </w:r>
      <w:r w:rsidRPr="00393812">
        <w:rPr>
          <w:rFonts w:ascii="Arial" w:hAnsi="Arial" w:cs="Arial"/>
          <w:sz w:val="18"/>
          <w:szCs w:val="18"/>
        </w:rPr>
        <w:t xml:space="preserve"> Benko AL, McAloose CA, Becker PM, Wright D, Sunyer T, Kawasawa YI, Olsen NJ, Kovacs WJ. Repository corticotrophin injection exerts direct acute effects on human B cell gene expression distinct from the actions of glucocorticoids. </w:t>
      </w:r>
      <w:r w:rsidRPr="00393812">
        <w:rPr>
          <w:rFonts w:ascii="Arial" w:hAnsi="Arial" w:cs="Arial"/>
          <w:i/>
          <w:iCs/>
          <w:sz w:val="18"/>
          <w:szCs w:val="18"/>
        </w:rPr>
        <w:t>Clin Exp Immunol</w:t>
      </w:r>
      <w:r w:rsidRPr="00393812">
        <w:rPr>
          <w:rFonts w:ascii="Arial" w:hAnsi="Arial" w:cs="Arial"/>
          <w:sz w:val="18"/>
          <w:szCs w:val="18"/>
        </w:rPr>
        <w:t>. 2018;192(1):68</w:t>
      </w:r>
      <w:r w:rsidRPr="00393812">
        <w:rPr>
          <w:rFonts w:ascii="Cambria Math" w:hAnsi="Cambria Math" w:cs="Cambria Math"/>
          <w:sz w:val="18"/>
          <w:szCs w:val="18"/>
        </w:rPr>
        <w:t>‐</w:t>
      </w:r>
      <w:r w:rsidRPr="00393812">
        <w:rPr>
          <w:rFonts w:ascii="Arial" w:hAnsi="Arial" w:cs="Arial"/>
          <w:sz w:val="18"/>
          <w:szCs w:val="18"/>
        </w:rPr>
        <w:t>81.</w:t>
      </w:r>
      <w:r>
        <w:rPr>
          <w:rFonts w:ascii="Arial" w:hAnsi="Arial" w:cs="Arial"/>
          <w:sz w:val="18"/>
          <w:szCs w:val="18"/>
        </w:rPr>
        <w:t xml:space="preserve"> </w:t>
      </w:r>
      <w:r>
        <w:rPr>
          <w:rFonts w:ascii="Arial" w:hAnsi="Arial" w:cs="Arial"/>
          <w:b/>
          <w:bCs/>
          <w:sz w:val="18"/>
          <w:szCs w:val="18"/>
        </w:rPr>
        <w:t>7</w:t>
      </w:r>
      <w:r w:rsidRPr="00C1131B">
        <w:rPr>
          <w:rFonts w:ascii="Arial" w:hAnsi="Arial" w:cs="Arial"/>
          <w:b/>
          <w:bCs/>
          <w:sz w:val="18"/>
          <w:szCs w:val="18"/>
        </w:rPr>
        <w:t>.</w:t>
      </w:r>
      <w:r>
        <w:rPr>
          <w:rFonts w:ascii="Arial" w:hAnsi="Arial" w:cs="Arial"/>
          <w:sz w:val="18"/>
          <w:szCs w:val="18"/>
        </w:rPr>
        <w:t xml:space="preserve"> Benko AL, Wright AD, Sunyer T, Olsen NJ, Kovacs WJ. Individual pituitary neuropeptides do not recapitulate the effects of repository corticotropin [Acthar</w:t>
      </w:r>
      <w:r w:rsidRPr="00C1131B">
        <w:rPr>
          <w:rFonts w:ascii="Arial" w:hAnsi="Arial" w:cs="Arial"/>
          <w:sz w:val="18"/>
          <w:szCs w:val="18"/>
          <w:vertAlign w:val="superscript"/>
        </w:rPr>
        <w:t>®</w:t>
      </w:r>
      <w:r>
        <w:rPr>
          <w:rFonts w:ascii="Arial" w:hAnsi="Arial" w:cs="Arial"/>
          <w:sz w:val="18"/>
          <w:szCs w:val="18"/>
        </w:rPr>
        <w:t xml:space="preserve">] on human B cells in vitro. </w:t>
      </w:r>
      <w:r w:rsidRPr="00C1131B">
        <w:rPr>
          <w:rFonts w:ascii="Arial" w:hAnsi="Arial" w:cs="Arial"/>
          <w:i/>
          <w:iCs/>
          <w:sz w:val="18"/>
          <w:szCs w:val="18"/>
        </w:rPr>
        <w:t>J Neuroimmuno</w:t>
      </w:r>
      <w:r>
        <w:rPr>
          <w:rFonts w:ascii="Arial" w:hAnsi="Arial" w:cs="Arial"/>
          <w:i/>
          <w:iCs/>
          <w:sz w:val="18"/>
          <w:szCs w:val="18"/>
        </w:rPr>
        <w:t>l</w:t>
      </w:r>
      <w:r>
        <w:rPr>
          <w:rFonts w:ascii="Arial" w:hAnsi="Arial" w:cs="Arial"/>
          <w:sz w:val="18"/>
          <w:szCs w:val="18"/>
        </w:rPr>
        <w:t>. 2021;353:577522.</w:t>
      </w:r>
    </w:p>
    <w:p w14:paraId="7ABFDB31" w14:textId="6DF2522C" w:rsidR="00793967" w:rsidRDefault="00793967" w:rsidP="00793967">
      <w:pPr>
        <w:rPr>
          <w:rFonts w:ascii="Arial" w:hAnsi="Arial" w:cs="Arial"/>
          <w:sz w:val="18"/>
          <w:szCs w:val="18"/>
        </w:rPr>
      </w:pPr>
      <w:r w:rsidRPr="00393812">
        <w:rPr>
          <w:rFonts w:ascii="Arial" w:hAnsi="Arial" w:cs="Arial"/>
          <w:sz w:val="18"/>
          <w:szCs w:val="18"/>
        </w:rPr>
        <w:t>.</w:t>
      </w:r>
    </w:p>
    <w:p w14:paraId="6745A256" w14:textId="77777777" w:rsidR="005428EC" w:rsidRDefault="005428EC" w:rsidP="009F73BE">
      <w:pPr>
        <w:autoSpaceDE w:val="0"/>
        <w:autoSpaceDN w:val="0"/>
        <w:adjustRightInd w:val="0"/>
        <w:jc w:val="center"/>
        <w:rPr>
          <w:rFonts w:ascii="Arial" w:hAnsi="Arial" w:cs="Arial"/>
          <w:b/>
          <w:i/>
          <w:color w:val="000000" w:themeColor="text1"/>
          <w:sz w:val="22"/>
          <w:szCs w:val="22"/>
        </w:rPr>
      </w:pPr>
    </w:p>
    <w:p w14:paraId="5E06E42A" w14:textId="77777777" w:rsidR="00EB088F" w:rsidRDefault="00EB088F" w:rsidP="00401430">
      <w:pPr>
        <w:autoSpaceDE w:val="0"/>
        <w:autoSpaceDN w:val="0"/>
        <w:adjustRightInd w:val="0"/>
        <w:rPr>
          <w:rFonts w:ascii="Arial" w:hAnsi="Arial" w:cs="Arial"/>
          <w:b/>
          <w:i/>
          <w:color w:val="000000" w:themeColor="text1"/>
          <w:sz w:val="22"/>
          <w:szCs w:val="22"/>
        </w:rPr>
      </w:pPr>
    </w:p>
    <w:p w14:paraId="6CA40F1B" w14:textId="3EB5C301"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62E730C3" w14:textId="77777777" w:rsidR="00EB088F" w:rsidRDefault="00EB088F" w:rsidP="009F73BE">
      <w:pPr>
        <w:rPr>
          <w:rFonts w:ascii="Arial" w:hAnsi="Arial" w:cs="Arial"/>
          <w:color w:val="353535"/>
          <w:sz w:val="16"/>
          <w:szCs w:val="16"/>
        </w:rPr>
      </w:pPr>
    </w:p>
    <w:p w14:paraId="15912B60" w14:textId="77777777" w:rsidR="005428EC" w:rsidRDefault="005428EC" w:rsidP="009F73BE">
      <w:pPr>
        <w:rPr>
          <w:rFonts w:ascii="Arial" w:hAnsi="Arial" w:cs="Arial"/>
          <w:color w:val="353535"/>
          <w:sz w:val="16"/>
          <w:szCs w:val="16"/>
        </w:rPr>
      </w:pPr>
    </w:p>
    <w:p w14:paraId="63829023" w14:textId="0011E49A"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304168">
        <w:rPr>
          <w:rFonts w:ascii="Arial" w:hAnsi="Arial" w:cs="Arial"/>
          <w:color w:val="353535"/>
          <w:sz w:val="16"/>
          <w:szCs w:val="16"/>
        </w:rPr>
        <w:t>50</w:t>
      </w:r>
      <w:r w:rsidRPr="00997CB7">
        <w:rPr>
          <w:rFonts w:ascii="Arial" w:hAnsi="Arial" w:cs="Arial"/>
          <w:sz w:val="16"/>
          <w:szCs w:val="16"/>
        </w:rPr>
        <w:t xml:space="preserve"> </w:t>
      </w:r>
      <w:r>
        <w:rPr>
          <w:rFonts w:ascii="Arial" w:hAnsi="Arial" w:cs="Arial"/>
          <w:color w:val="353535"/>
          <w:sz w:val="16"/>
          <w:szCs w:val="16"/>
        </w:rPr>
        <w:t>0</w:t>
      </w:r>
      <w:r w:rsidR="006641B9">
        <w:rPr>
          <w:rFonts w:ascii="Arial" w:hAnsi="Arial" w:cs="Arial"/>
          <w:color w:val="353535"/>
          <w:sz w:val="16"/>
          <w:szCs w:val="16"/>
        </w:rPr>
        <w:t>5</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DD5137">
      <w:footerReference w:type="even" r:id="rId15"/>
      <w:footerReference w:type="default" r:id="rId16"/>
      <w:footerReference w:type="first" r:id="rId17"/>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8C99" w14:textId="77777777" w:rsidR="00475EF3" w:rsidRDefault="00475EF3" w:rsidP="00B561C6">
      <w:r>
        <w:separator/>
      </w:r>
    </w:p>
  </w:endnote>
  <w:endnote w:type="continuationSeparator" w:id="0">
    <w:p w14:paraId="73D3BA6F" w14:textId="77777777" w:rsidR="00475EF3" w:rsidRDefault="00475EF3"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9071" w14:textId="0A3CB694" w:rsidR="003275CD" w:rsidRDefault="003275CD">
    <w:pPr>
      <w:pStyle w:val="Footer"/>
    </w:pPr>
    <w:r>
      <w:rPr>
        <w:noProof/>
      </w:rPr>
      <mc:AlternateContent>
        <mc:Choice Requires="wps">
          <w:drawing>
            <wp:anchor distT="0" distB="0" distL="0" distR="0" simplePos="0" relativeHeight="251659264" behindDoc="0" locked="0" layoutInCell="1" allowOverlap="1" wp14:anchorId="5635090E" wp14:editId="74BE6111">
              <wp:simplePos x="635" y="635"/>
              <wp:positionH relativeFrom="page">
                <wp:align>center</wp:align>
              </wp:positionH>
              <wp:positionV relativeFrom="page">
                <wp:align>bottom</wp:align>
              </wp:positionV>
              <wp:extent cx="3108960" cy="345440"/>
              <wp:effectExtent l="0" t="0" r="15240" b="0"/>
              <wp:wrapNone/>
              <wp:docPr id="882214108"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45440"/>
                      </a:xfrm>
                      <a:prstGeom prst="rect">
                        <a:avLst/>
                      </a:prstGeom>
                      <a:noFill/>
                      <a:ln>
                        <a:noFill/>
                      </a:ln>
                    </wps:spPr>
                    <wps:txbx>
                      <w:txbxContent>
                        <w:p w14:paraId="64C5B25F" w14:textId="0F58D7A8" w:rsidR="003275CD" w:rsidRPr="003275CD" w:rsidRDefault="003275CD" w:rsidP="003275CD">
                          <w:pPr>
                            <w:rPr>
                              <w:rFonts w:ascii="Aptos" w:eastAsia="Aptos" w:hAnsi="Aptos" w:cs="Aptos"/>
                              <w:noProof/>
                              <w:color w:val="000000"/>
                              <w:sz w:val="20"/>
                              <w:szCs w:val="20"/>
                            </w:rPr>
                          </w:pPr>
                          <w:r w:rsidRPr="003275CD">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5090E"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4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" filled="f" stroked="f">
              <v:fill o:detectmouseclick="t"/>
              <v:textbox style="mso-fit-shape-to-text:t" inset="0,0,0,15pt">
                <w:txbxContent>
                  <w:p w14:paraId="64C5B25F" w14:textId="0F58D7A8" w:rsidR="003275CD" w:rsidRPr="003275CD" w:rsidRDefault="003275CD" w:rsidP="003275CD">
                    <w:pPr>
                      <w:rPr>
                        <w:rFonts w:ascii="Aptos" w:eastAsia="Aptos" w:hAnsi="Aptos" w:cs="Aptos"/>
                        <w:noProof/>
                        <w:color w:val="000000"/>
                        <w:sz w:val="20"/>
                        <w:szCs w:val="20"/>
                      </w:rPr>
                    </w:pPr>
                    <w:r w:rsidRPr="003275CD">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3766" w14:textId="554CD839" w:rsidR="00746C80" w:rsidRDefault="003275CD">
    <w:pPr>
      <w:pStyle w:val="Footer"/>
    </w:pPr>
    <w:r>
      <w:rPr>
        <w:noProof/>
      </w:rPr>
      <mc:AlternateContent>
        <mc:Choice Requires="wps">
          <w:drawing>
            <wp:anchor distT="0" distB="0" distL="0" distR="0" simplePos="0" relativeHeight="251660288" behindDoc="0" locked="0" layoutInCell="1" allowOverlap="1" wp14:anchorId="000FF859" wp14:editId="29953527">
              <wp:simplePos x="635" y="635"/>
              <wp:positionH relativeFrom="page">
                <wp:align>center</wp:align>
              </wp:positionH>
              <wp:positionV relativeFrom="page">
                <wp:align>bottom</wp:align>
              </wp:positionV>
              <wp:extent cx="3108960" cy="345440"/>
              <wp:effectExtent l="0" t="0" r="15240" b="0"/>
              <wp:wrapNone/>
              <wp:docPr id="1632809978"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45440"/>
                      </a:xfrm>
                      <a:prstGeom prst="rect">
                        <a:avLst/>
                      </a:prstGeom>
                      <a:noFill/>
                      <a:ln>
                        <a:noFill/>
                      </a:ln>
                    </wps:spPr>
                    <wps:txbx>
                      <w:txbxContent>
                        <w:p w14:paraId="59C63359" w14:textId="23ACB719" w:rsidR="003275CD" w:rsidRPr="003275CD" w:rsidRDefault="003275CD" w:rsidP="003275CD">
                          <w:pPr>
                            <w:rPr>
                              <w:rFonts w:ascii="Aptos" w:eastAsia="Aptos" w:hAnsi="Aptos" w:cs="Aptos"/>
                              <w:noProof/>
                              <w:color w:val="000000"/>
                              <w:sz w:val="20"/>
                              <w:szCs w:val="20"/>
                            </w:rPr>
                          </w:pPr>
                          <w:r w:rsidRPr="003275CD">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FF859"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4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" filled="f" stroked="f">
              <v:fill o:detectmouseclick="t"/>
              <v:textbox style="mso-fit-shape-to-text:t" inset="0,0,0,15pt">
                <w:txbxContent>
                  <w:p w14:paraId="59C63359" w14:textId="23ACB719" w:rsidR="003275CD" w:rsidRPr="003275CD" w:rsidRDefault="003275CD" w:rsidP="003275CD">
                    <w:pPr>
                      <w:rPr>
                        <w:rFonts w:ascii="Aptos" w:eastAsia="Aptos" w:hAnsi="Aptos" w:cs="Aptos"/>
                        <w:noProof/>
                        <w:color w:val="000000"/>
                        <w:sz w:val="20"/>
                        <w:szCs w:val="20"/>
                      </w:rPr>
                    </w:pPr>
                    <w:r w:rsidRPr="003275CD">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1E66" w14:textId="422DCB5A" w:rsidR="00746C80" w:rsidRDefault="003275CD">
    <w:pPr>
      <w:pStyle w:val="Footer"/>
      <w:jc w:val="center"/>
    </w:pPr>
    <w:r>
      <w:rPr>
        <w:noProof/>
      </w:rPr>
      <mc:AlternateContent>
        <mc:Choice Requires="wps">
          <w:drawing>
            <wp:anchor distT="0" distB="0" distL="0" distR="0" simplePos="0" relativeHeight="251658240" behindDoc="0" locked="0" layoutInCell="1" allowOverlap="1" wp14:anchorId="71DF13F5" wp14:editId="6C12C3B2">
              <wp:simplePos x="635" y="635"/>
              <wp:positionH relativeFrom="page">
                <wp:align>center</wp:align>
              </wp:positionH>
              <wp:positionV relativeFrom="page">
                <wp:align>bottom</wp:align>
              </wp:positionV>
              <wp:extent cx="3108960" cy="345440"/>
              <wp:effectExtent l="0" t="0" r="15240" b="0"/>
              <wp:wrapNone/>
              <wp:docPr id="585682937"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8960" cy="345440"/>
                      </a:xfrm>
                      <a:prstGeom prst="rect">
                        <a:avLst/>
                      </a:prstGeom>
                      <a:noFill/>
                      <a:ln>
                        <a:noFill/>
                      </a:ln>
                    </wps:spPr>
                    <wps:txbx>
                      <w:txbxContent>
                        <w:p w14:paraId="3F06FAE4" w14:textId="09D3C1B1" w:rsidR="003275CD" w:rsidRPr="003275CD" w:rsidRDefault="003275CD" w:rsidP="003275CD">
                          <w:pPr>
                            <w:rPr>
                              <w:rFonts w:ascii="Aptos" w:eastAsia="Aptos" w:hAnsi="Aptos" w:cs="Aptos"/>
                              <w:noProof/>
                              <w:color w:val="000000"/>
                              <w:sz w:val="20"/>
                              <w:szCs w:val="20"/>
                            </w:rPr>
                          </w:pPr>
                          <w:r w:rsidRPr="003275CD">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F13F5" id="_x0000_t202" coordsize="21600,21600" o:spt="202" path="m,l,21600r21600,l21600,xe">
              <v:stroke joinstyle="miter"/>
              <v:path gradientshapeok="t" o:connecttype="rect"/>
            </v:shapetype>
            <v:shape id="Text Box 1" o:spid="_x0000_s1028" type="#_x0000_t202" alt="Confidential - Not for Public Consumption or Distribution" style="position:absolute;left:0;text-align:left;margin-left:0;margin-top:0;width:24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wHEAIAAB0EAAAOAAAAZHJzL2Uyb0RvYy54bWysU01v2zAMvQ/YfxB0X+yka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" filled="f" stroked="f">
              <v:fill o:detectmouseclick="t"/>
              <v:textbox style="mso-fit-shape-to-text:t" inset="0,0,0,15pt">
                <w:txbxContent>
                  <w:p w14:paraId="3F06FAE4" w14:textId="09D3C1B1" w:rsidR="003275CD" w:rsidRPr="003275CD" w:rsidRDefault="003275CD" w:rsidP="003275CD">
                    <w:pPr>
                      <w:rPr>
                        <w:rFonts w:ascii="Aptos" w:eastAsia="Aptos" w:hAnsi="Aptos" w:cs="Aptos"/>
                        <w:noProof/>
                        <w:color w:val="000000"/>
                        <w:sz w:val="20"/>
                        <w:szCs w:val="20"/>
                      </w:rPr>
                    </w:pPr>
                    <w:r w:rsidRPr="003275CD">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sdt>
    <w:sdtPr>
      <w:id w:val="1920977116"/>
      <w:docPartObj>
        <w:docPartGallery w:val="Page Numbers (Bottom of Page)"/>
        <w:docPartUnique/>
      </w:docPartObj>
    </w:sdtPr>
    <w:sdtEndPr>
      <w:rPr>
        <w:noProof/>
      </w:rPr>
    </w:sdtEndPr>
    <w:sdtContent>
      <w:p w14:paraId="41311E66" w14:textId="422DCB5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F622" w14:textId="77777777" w:rsidR="00475EF3" w:rsidRDefault="00475EF3" w:rsidP="00B561C6">
      <w:r>
        <w:separator/>
      </w:r>
    </w:p>
  </w:footnote>
  <w:footnote w:type="continuationSeparator" w:id="0">
    <w:p w14:paraId="718F95C7" w14:textId="77777777" w:rsidR="00475EF3" w:rsidRDefault="00475EF3"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8"/>
  </w:num>
  <w:num w:numId="3" w16cid:durableId="467170135">
    <w:abstractNumId w:val="9"/>
  </w:num>
  <w:num w:numId="4" w16cid:durableId="792551544">
    <w:abstractNumId w:val="7"/>
  </w:num>
  <w:num w:numId="5" w16cid:durableId="1088502850">
    <w:abstractNumId w:val="18"/>
  </w:num>
  <w:num w:numId="6" w16cid:durableId="784808448">
    <w:abstractNumId w:val="40"/>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4"/>
  </w:num>
  <w:num w:numId="18" w16cid:durableId="1152023507">
    <w:abstractNumId w:val="30"/>
  </w:num>
  <w:num w:numId="19" w16cid:durableId="1134640745">
    <w:abstractNumId w:val="0"/>
  </w:num>
  <w:num w:numId="20" w16cid:durableId="1349522123">
    <w:abstractNumId w:val="6"/>
  </w:num>
  <w:num w:numId="21" w16cid:durableId="1049721880">
    <w:abstractNumId w:val="36"/>
  </w:num>
  <w:num w:numId="22" w16cid:durableId="1255479306">
    <w:abstractNumId w:val="14"/>
  </w:num>
  <w:num w:numId="23" w16cid:durableId="1878734137">
    <w:abstractNumId w:val="37"/>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1"/>
  </w:num>
  <w:num w:numId="29" w16cid:durableId="1014262902">
    <w:abstractNumId w:val="31"/>
  </w:num>
  <w:num w:numId="30" w16cid:durableId="2137021044">
    <w:abstractNumId w:val="22"/>
  </w:num>
  <w:num w:numId="31" w16cid:durableId="545725787">
    <w:abstractNumId w:val="39"/>
  </w:num>
  <w:num w:numId="32" w16cid:durableId="283536384">
    <w:abstractNumId w:val="35"/>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184C"/>
    <w:rsid w:val="000D3B6A"/>
    <w:rsid w:val="000D45EB"/>
    <w:rsid w:val="000D4B54"/>
    <w:rsid w:val="000E0C54"/>
    <w:rsid w:val="000E38F2"/>
    <w:rsid w:val="000E44D5"/>
    <w:rsid w:val="000F1291"/>
    <w:rsid w:val="000F3310"/>
    <w:rsid w:val="000F6DEC"/>
    <w:rsid w:val="0010168A"/>
    <w:rsid w:val="00102CD7"/>
    <w:rsid w:val="001038FB"/>
    <w:rsid w:val="00105CA0"/>
    <w:rsid w:val="00106D5A"/>
    <w:rsid w:val="00107810"/>
    <w:rsid w:val="001119CB"/>
    <w:rsid w:val="00111FF3"/>
    <w:rsid w:val="00115B05"/>
    <w:rsid w:val="00116183"/>
    <w:rsid w:val="00133B34"/>
    <w:rsid w:val="0014064B"/>
    <w:rsid w:val="00144C4B"/>
    <w:rsid w:val="00145E00"/>
    <w:rsid w:val="00146135"/>
    <w:rsid w:val="0015060E"/>
    <w:rsid w:val="001508FA"/>
    <w:rsid w:val="001572EA"/>
    <w:rsid w:val="001658D4"/>
    <w:rsid w:val="00166531"/>
    <w:rsid w:val="0017151A"/>
    <w:rsid w:val="00171ADC"/>
    <w:rsid w:val="00173CE7"/>
    <w:rsid w:val="00177D43"/>
    <w:rsid w:val="00190602"/>
    <w:rsid w:val="0019405F"/>
    <w:rsid w:val="00194E6B"/>
    <w:rsid w:val="00195381"/>
    <w:rsid w:val="00195912"/>
    <w:rsid w:val="00195FE8"/>
    <w:rsid w:val="00196F18"/>
    <w:rsid w:val="00197187"/>
    <w:rsid w:val="00197D5C"/>
    <w:rsid w:val="001A4F2E"/>
    <w:rsid w:val="001B1CA2"/>
    <w:rsid w:val="001D1252"/>
    <w:rsid w:val="001D45CB"/>
    <w:rsid w:val="001E1458"/>
    <w:rsid w:val="001E2B0A"/>
    <w:rsid w:val="001E47A2"/>
    <w:rsid w:val="001E4B23"/>
    <w:rsid w:val="001F4C70"/>
    <w:rsid w:val="001F7258"/>
    <w:rsid w:val="002046EB"/>
    <w:rsid w:val="002059D0"/>
    <w:rsid w:val="00206833"/>
    <w:rsid w:val="00213B00"/>
    <w:rsid w:val="00223D34"/>
    <w:rsid w:val="0023253F"/>
    <w:rsid w:val="0023337F"/>
    <w:rsid w:val="002375F8"/>
    <w:rsid w:val="00240804"/>
    <w:rsid w:val="00246863"/>
    <w:rsid w:val="0024699B"/>
    <w:rsid w:val="00252599"/>
    <w:rsid w:val="00253377"/>
    <w:rsid w:val="0026293B"/>
    <w:rsid w:val="00266814"/>
    <w:rsid w:val="002726ED"/>
    <w:rsid w:val="00276E95"/>
    <w:rsid w:val="00277DCC"/>
    <w:rsid w:val="00281B01"/>
    <w:rsid w:val="00285B87"/>
    <w:rsid w:val="00294177"/>
    <w:rsid w:val="00295383"/>
    <w:rsid w:val="00296883"/>
    <w:rsid w:val="00296E01"/>
    <w:rsid w:val="0029719D"/>
    <w:rsid w:val="002A016A"/>
    <w:rsid w:val="002A6A9D"/>
    <w:rsid w:val="002B06FA"/>
    <w:rsid w:val="002B1240"/>
    <w:rsid w:val="002B237C"/>
    <w:rsid w:val="002C1A8D"/>
    <w:rsid w:val="002C4A24"/>
    <w:rsid w:val="002C4C7D"/>
    <w:rsid w:val="002C5EB2"/>
    <w:rsid w:val="002D0A3D"/>
    <w:rsid w:val="002D1AF3"/>
    <w:rsid w:val="002D20D7"/>
    <w:rsid w:val="002D41CC"/>
    <w:rsid w:val="002D428E"/>
    <w:rsid w:val="002E753B"/>
    <w:rsid w:val="002F1934"/>
    <w:rsid w:val="002F6BF0"/>
    <w:rsid w:val="00300B77"/>
    <w:rsid w:val="003026BB"/>
    <w:rsid w:val="00304168"/>
    <w:rsid w:val="003120C9"/>
    <w:rsid w:val="003134D0"/>
    <w:rsid w:val="003144E6"/>
    <w:rsid w:val="0031535E"/>
    <w:rsid w:val="0031561B"/>
    <w:rsid w:val="003218DB"/>
    <w:rsid w:val="00323838"/>
    <w:rsid w:val="00323D82"/>
    <w:rsid w:val="003275CD"/>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97FF6"/>
    <w:rsid w:val="003A1D7A"/>
    <w:rsid w:val="003A2E3A"/>
    <w:rsid w:val="003A5CB3"/>
    <w:rsid w:val="003A7818"/>
    <w:rsid w:val="003B0DA1"/>
    <w:rsid w:val="003B14AC"/>
    <w:rsid w:val="003B2225"/>
    <w:rsid w:val="003C0EA1"/>
    <w:rsid w:val="003C3727"/>
    <w:rsid w:val="003C6106"/>
    <w:rsid w:val="003C6446"/>
    <w:rsid w:val="003D0C38"/>
    <w:rsid w:val="003D1FA6"/>
    <w:rsid w:val="003E1022"/>
    <w:rsid w:val="003E4218"/>
    <w:rsid w:val="003F0E9A"/>
    <w:rsid w:val="003F1E80"/>
    <w:rsid w:val="003F25BF"/>
    <w:rsid w:val="003F3286"/>
    <w:rsid w:val="003F3E04"/>
    <w:rsid w:val="003F75FF"/>
    <w:rsid w:val="00401430"/>
    <w:rsid w:val="00401584"/>
    <w:rsid w:val="00417D7C"/>
    <w:rsid w:val="004213DC"/>
    <w:rsid w:val="00427C04"/>
    <w:rsid w:val="00432F7B"/>
    <w:rsid w:val="00443EB3"/>
    <w:rsid w:val="004443F3"/>
    <w:rsid w:val="0044557D"/>
    <w:rsid w:val="00450F1E"/>
    <w:rsid w:val="0045567E"/>
    <w:rsid w:val="00457CCF"/>
    <w:rsid w:val="00462C40"/>
    <w:rsid w:val="00466BB9"/>
    <w:rsid w:val="00467095"/>
    <w:rsid w:val="004679DE"/>
    <w:rsid w:val="00475EF3"/>
    <w:rsid w:val="00486EF5"/>
    <w:rsid w:val="004873D1"/>
    <w:rsid w:val="00487831"/>
    <w:rsid w:val="004906AB"/>
    <w:rsid w:val="00492D8A"/>
    <w:rsid w:val="00494936"/>
    <w:rsid w:val="00496F41"/>
    <w:rsid w:val="004B0D57"/>
    <w:rsid w:val="004B3505"/>
    <w:rsid w:val="004B36C5"/>
    <w:rsid w:val="004B4871"/>
    <w:rsid w:val="004B582D"/>
    <w:rsid w:val="004B7B4F"/>
    <w:rsid w:val="004C1CA0"/>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11A3A"/>
    <w:rsid w:val="005168F1"/>
    <w:rsid w:val="005201FE"/>
    <w:rsid w:val="00523EC9"/>
    <w:rsid w:val="00530CA7"/>
    <w:rsid w:val="00532BF4"/>
    <w:rsid w:val="00535077"/>
    <w:rsid w:val="00536081"/>
    <w:rsid w:val="00537CBC"/>
    <w:rsid w:val="00540361"/>
    <w:rsid w:val="005428EC"/>
    <w:rsid w:val="005444BE"/>
    <w:rsid w:val="005528D9"/>
    <w:rsid w:val="0055367E"/>
    <w:rsid w:val="005636D6"/>
    <w:rsid w:val="00565566"/>
    <w:rsid w:val="00573DDF"/>
    <w:rsid w:val="00581434"/>
    <w:rsid w:val="00584764"/>
    <w:rsid w:val="00585AE0"/>
    <w:rsid w:val="00590762"/>
    <w:rsid w:val="005933F4"/>
    <w:rsid w:val="005944A8"/>
    <w:rsid w:val="00596C0E"/>
    <w:rsid w:val="005A0CB8"/>
    <w:rsid w:val="005C264A"/>
    <w:rsid w:val="005C29D7"/>
    <w:rsid w:val="005D3181"/>
    <w:rsid w:val="005D4D6D"/>
    <w:rsid w:val="005D5FF9"/>
    <w:rsid w:val="005D74AB"/>
    <w:rsid w:val="005E1338"/>
    <w:rsid w:val="005F3C87"/>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41B9"/>
    <w:rsid w:val="006678F4"/>
    <w:rsid w:val="00670AED"/>
    <w:rsid w:val="00671BF3"/>
    <w:rsid w:val="00672340"/>
    <w:rsid w:val="0067570D"/>
    <w:rsid w:val="00682C4C"/>
    <w:rsid w:val="00690C5A"/>
    <w:rsid w:val="0069333F"/>
    <w:rsid w:val="00693D25"/>
    <w:rsid w:val="00697BE5"/>
    <w:rsid w:val="006A128E"/>
    <w:rsid w:val="006A242B"/>
    <w:rsid w:val="006A7391"/>
    <w:rsid w:val="006B5D3F"/>
    <w:rsid w:val="006C0C3E"/>
    <w:rsid w:val="006C2759"/>
    <w:rsid w:val="006D2822"/>
    <w:rsid w:val="006D3F64"/>
    <w:rsid w:val="006D6CE4"/>
    <w:rsid w:val="006E011B"/>
    <w:rsid w:val="006E1E83"/>
    <w:rsid w:val="006E22DE"/>
    <w:rsid w:val="006F5A87"/>
    <w:rsid w:val="006F61D0"/>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52721"/>
    <w:rsid w:val="00771A21"/>
    <w:rsid w:val="00773F4E"/>
    <w:rsid w:val="00777310"/>
    <w:rsid w:val="0077753B"/>
    <w:rsid w:val="00781560"/>
    <w:rsid w:val="00782197"/>
    <w:rsid w:val="0078319B"/>
    <w:rsid w:val="00786393"/>
    <w:rsid w:val="00791F75"/>
    <w:rsid w:val="00793967"/>
    <w:rsid w:val="007B182F"/>
    <w:rsid w:val="007B1CA1"/>
    <w:rsid w:val="007C1C27"/>
    <w:rsid w:val="007C6A5B"/>
    <w:rsid w:val="007E1C6C"/>
    <w:rsid w:val="007E1F7B"/>
    <w:rsid w:val="007E2863"/>
    <w:rsid w:val="007E35BB"/>
    <w:rsid w:val="007F14B6"/>
    <w:rsid w:val="008026D8"/>
    <w:rsid w:val="00802C6A"/>
    <w:rsid w:val="008041B0"/>
    <w:rsid w:val="00810069"/>
    <w:rsid w:val="00814C8D"/>
    <w:rsid w:val="008158E7"/>
    <w:rsid w:val="00817E0E"/>
    <w:rsid w:val="00826B4B"/>
    <w:rsid w:val="00832BBE"/>
    <w:rsid w:val="00834967"/>
    <w:rsid w:val="008352BE"/>
    <w:rsid w:val="00837E23"/>
    <w:rsid w:val="00847CC2"/>
    <w:rsid w:val="00851491"/>
    <w:rsid w:val="00854E79"/>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D5AC0"/>
    <w:rsid w:val="008D7644"/>
    <w:rsid w:val="008E1B3F"/>
    <w:rsid w:val="008E4F78"/>
    <w:rsid w:val="008F1E6F"/>
    <w:rsid w:val="008F62D2"/>
    <w:rsid w:val="008F7C2B"/>
    <w:rsid w:val="00900F85"/>
    <w:rsid w:val="009029B6"/>
    <w:rsid w:val="00902F0F"/>
    <w:rsid w:val="009041B3"/>
    <w:rsid w:val="009053AE"/>
    <w:rsid w:val="009071B6"/>
    <w:rsid w:val="0091022C"/>
    <w:rsid w:val="00911408"/>
    <w:rsid w:val="00920021"/>
    <w:rsid w:val="00922593"/>
    <w:rsid w:val="00922AC2"/>
    <w:rsid w:val="009327D1"/>
    <w:rsid w:val="0094027F"/>
    <w:rsid w:val="00942937"/>
    <w:rsid w:val="009460E2"/>
    <w:rsid w:val="00946899"/>
    <w:rsid w:val="00953624"/>
    <w:rsid w:val="00966630"/>
    <w:rsid w:val="00970876"/>
    <w:rsid w:val="009756DD"/>
    <w:rsid w:val="00982C19"/>
    <w:rsid w:val="00984C62"/>
    <w:rsid w:val="00991A46"/>
    <w:rsid w:val="009941D0"/>
    <w:rsid w:val="009967B0"/>
    <w:rsid w:val="00997CB7"/>
    <w:rsid w:val="009A01BC"/>
    <w:rsid w:val="009A408D"/>
    <w:rsid w:val="009A49B3"/>
    <w:rsid w:val="009A7DC4"/>
    <w:rsid w:val="009B2B00"/>
    <w:rsid w:val="009B4EE0"/>
    <w:rsid w:val="009B66F2"/>
    <w:rsid w:val="009B6BE7"/>
    <w:rsid w:val="009B704E"/>
    <w:rsid w:val="009B74A2"/>
    <w:rsid w:val="009C5875"/>
    <w:rsid w:val="009D0F99"/>
    <w:rsid w:val="009D26D8"/>
    <w:rsid w:val="009D2B90"/>
    <w:rsid w:val="009D5C49"/>
    <w:rsid w:val="009D6B3B"/>
    <w:rsid w:val="009E1057"/>
    <w:rsid w:val="009E285D"/>
    <w:rsid w:val="009E3D3C"/>
    <w:rsid w:val="009F0819"/>
    <w:rsid w:val="009F6B7B"/>
    <w:rsid w:val="009F73BE"/>
    <w:rsid w:val="00A00D99"/>
    <w:rsid w:val="00A01AA6"/>
    <w:rsid w:val="00A10BDE"/>
    <w:rsid w:val="00A11A83"/>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2CE6"/>
    <w:rsid w:val="00A93EBD"/>
    <w:rsid w:val="00A97D0E"/>
    <w:rsid w:val="00AA0730"/>
    <w:rsid w:val="00AA3E33"/>
    <w:rsid w:val="00AA6D29"/>
    <w:rsid w:val="00AB2652"/>
    <w:rsid w:val="00AB3A9A"/>
    <w:rsid w:val="00AB430D"/>
    <w:rsid w:val="00AB50A5"/>
    <w:rsid w:val="00AB5748"/>
    <w:rsid w:val="00AB7987"/>
    <w:rsid w:val="00AC41C0"/>
    <w:rsid w:val="00AC578E"/>
    <w:rsid w:val="00AC70A9"/>
    <w:rsid w:val="00AC7315"/>
    <w:rsid w:val="00AC7E1B"/>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25D"/>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B23CE"/>
    <w:rsid w:val="00BB2FED"/>
    <w:rsid w:val="00BB3FE8"/>
    <w:rsid w:val="00BB602D"/>
    <w:rsid w:val="00BC0F0B"/>
    <w:rsid w:val="00BC4484"/>
    <w:rsid w:val="00BC64F8"/>
    <w:rsid w:val="00BD2E8E"/>
    <w:rsid w:val="00BD3189"/>
    <w:rsid w:val="00BE228C"/>
    <w:rsid w:val="00BE449E"/>
    <w:rsid w:val="00BF1AA3"/>
    <w:rsid w:val="00BF3032"/>
    <w:rsid w:val="00BF3A6C"/>
    <w:rsid w:val="00BF538D"/>
    <w:rsid w:val="00BF5BEB"/>
    <w:rsid w:val="00C03465"/>
    <w:rsid w:val="00C06923"/>
    <w:rsid w:val="00C072CB"/>
    <w:rsid w:val="00C1682C"/>
    <w:rsid w:val="00C16A1D"/>
    <w:rsid w:val="00C20850"/>
    <w:rsid w:val="00C23027"/>
    <w:rsid w:val="00C23392"/>
    <w:rsid w:val="00C233EF"/>
    <w:rsid w:val="00C313CF"/>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B371C"/>
    <w:rsid w:val="00CB58C2"/>
    <w:rsid w:val="00CB77E8"/>
    <w:rsid w:val="00CC2E74"/>
    <w:rsid w:val="00CC44FD"/>
    <w:rsid w:val="00CC47D5"/>
    <w:rsid w:val="00CC712E"/>
    <w:rsid w:val="00CD17C6"/>
    <w:rsid w:val="00CD55FD"/>
    <w:rsid w:val="00CF40A7"/>
    <w:rsid w:val="00CF5123"/>
    <w:rsid w:val="00D23160"/>
    <w:rsid w:val="00D27F7E"/>
    <w:rsid w:val="00D359B9"/>
    <w:rsid w:val="00D369F6"/>
    <w:rsid w:val="00D429CC"/>
    <w:rsid w:val="00D569A5"/>
    <w:rsid w:val="00D612F0"/>
    <w:rsid w:val="00D63720"/>
    <w:rsid w:val="00D643BA"/>
    <w:rsid w:val="00D644A3"/>
    <w:rsid w:val="00D74523"/>
    <w:rsid w:val="00D82346"/>
    <w:rsid w:val="00D87921"/>
    <w:rsid w:val="00D92F5E"/>
    <w:rsid w:val="00DB3696"/>
    <w:rsid w:val="00DB546C"/>
    <w:rsid w:val="00DB68C3"/>
    <w:rsid w:val="00DC0E85"/>
    <w:rsid w:val="00DC2F20"/>
    <w:rsid w:val="00DC3236"/>
    <w:rsid w:val="00DC37CF"/>
    <w:rsid w:val="00DC4C83"/>
    <w:rsid w:val="00DD2EB0"/>
    <w:rsid w:val="00DD381D"/>
    <w:rsid w:val="00DD5137"/>
    <w:rsid w:val="00DE17D4"/>
    <w:rsid w:val="00DE2094"/>
    <w:rsid w:val="00DE3948"/>
    <w:rsid w:val="00DE6492"/>
    <w:rsid w:val="00DF1385"/>
    <w:rsid w:val="00DF1C38"/>
    <w:rsid w:val="00DF293A"/>
    <w:rsid w:val="00DF3F66"/>
    <w:rsid w:val="00DF78DC"/>
    <w:rsid w:val="00E04B2E"/>
    <w:rsid w:val="00E06EC0"/>
    <w:rsid w:val="00E140B3"/>
    <w:rsid w:val="00E14A26"/>
    <w:rsid w:val="00E14E86"/>
    <w:rsid w:val="00E154ED"/>
    <w:rsid w:val="00E20A50"/>
    <w:rsid w:val="00E35FA9"/>
    <w:rsid w:val="00E37289"/>
    <w:rsid w:val="00E405FF"/>
    <w:rsid w:val="00E440B9"/>
    <w:rsid w:val="00E46C75"/>
    <w:rsid w:val="00E53BEB"/>
    <w:rsid w:val="00E543A8"/>
    <w:rsid w:val="00E559E3"/>
    <w:rsid w:val="00E569D2"/>
    <w:rsid w:val="00E64C28"/>
    <w:rsid w:val="00E66CD8"/>
    <w:rsid w:val="00E731FE"/>
    <w:rsid w:val="00E77019"/>
    <w:rsid w:val="00E834AB"/>
    <w:rsid w:val="00E8558A"/>
    <w:rsid w:val="00E9300B"/>
    <w:rsid w:val="00E93D3B"/>
    <w:rsid w:val="00E94455"/>
    <w:rsid w:val="00E95D5F"/>
    <w:rsid w:val="00EA05B0"/>
    <w:rsid w:val="00EB088F"/>
    <w:rsid w:val="00EB139F"/>
    <w:rsid w:val="00EB3325"/>
    <w:rsid w:val="00EC1C3B"/>
    <w:rsid w:val="00EC46BF"/>
    <w:rsid w:val="00EC4A8F"/>
    <w:rsid w:val="00ED07BC"/>
    <w:rsid w:val="00ED4C38"/>
    <w:rsid w:val="00EE05A1"/>
    <w:rsid w:val="00EE7755"/>
    <w:rsid w:val="00EE7AE3"/>
    <w:rsid w:val="00EF0C30"/>
    <w:rsid w:val="00F026B4"/>
    <w:rsid w:val="00F044F9"/>
    <w:rsid w:val="00F1032A"/>
    <w:rsid w:val="00F16E40"/>
    <w:rsid w:val="00F26650"/>
    <w:rsid w:val="00F26D87"/>
    <w:rsid w:val="00F30FB4"/>
    <w:rsid w:val="00F32D80"/>
    <w:rsid w:val="00F35688"/>
    <w:rsid w:val="00F42307"/>
    <w:rsid w:val="00F47AF8"/>
    <w:rsid w:val="00F50593"/>
    <w:rsid w:val="00F56612"/>
    <w:rsid w:val="00F56D9A"/>
    <w:rsid w:val="00F6050C"/>
    <w:rsid w:val="00F61113"/>
    <w:rsid w:val="00F65868"/>
    <w:rsid w:val="00F66F22"/>
    <w:rsid w:val="00F70A6A"/>
    <w:rsid w:val="00F71666"/>
    <w:rsid w:val="00F727DC"/>
    <w:rsid w:val="00F76671"/>
    <w:rsid w:val="00F776E6"/>
    <w:rsid w:val="00F8437A"/>
    <w:rsid w:val="00F84CAF"/>
    <w:rsid w:val="00F85F13"/>
    <w:rsid w:val="00F92476"/>
    <w:rsid w:val="00FA0EA9"/>
    <w:rsid w:val="00FA136A"/>
    <w:rsid w:val="00FB0DE0"/>
    <w:rsid w:val="00FB7174"/>
    <w:rsid w:val="00FC3E01"/>
    <w:rsid w:val="00FD2D54"/>
    <w:rsid w:val="00FD6CE9"/>
    <w:rsid w:val="00FD7AB1"/>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4935005/pdf/imcrj-9-12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mcnephrol.biomedcentral.com/counter/pdf/10.1186/s12882-016-0241-7.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urnals.lww.com/transplantjournal/fulltext/2019/01000/acth_gel_in_resistant_focal_segmental.3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1AE6-7A1A-4900-8506-EA63EDD4FBDF}">
  <ds:schemaRefs>
    <ds:schemaRef ds:uri="http://schemas.microsoft.com/sharepoint/v3/contenttype/forms"/>
  </ds:schemaRefs>
</ds:datastoreItem>
</file>

<file path=customXml/itemProps2.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3.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1297</Words>
  <Characters>7878</Characters>
  <Application>Microsoft Office Word</Application>
  <DocSecurity>0</DocSecurity>
  <Lines>154</Lines>
  <Paragraphs>66</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David Trudo (Omnicom)</cp:lastModifiedBy>
  <cp:revision>3</cp:revision>
  <cp:lastPrinted>2022-03-03T01:33:00Z</cp:lastPrinted>
  <dcterms:created xsi:type="dcterms:W3CDTF">2024-05-20T17:35:00Z</dcterms:created>
  <dcterms:modified xsi:type="dcterms:W3CDTF">2026-03-11T15:40:00Z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y fmtid="{D5CDD505-2E9C-101B-9397-08002B2CF9AE}" pid="3" name="ClassificationContentMarkingFooterShapeIds">
    <vt:lpwstr>22e8cff9,349584dc,6152b3fa</vt:lpwstr>
  </property>
  <property fmtid="{D5CDD505-2E9C-101B-9397-08002B2CF9AE}" pid="4" name="ClassificationContentMarkingFooterFontProps">
    <vt:lpwstr>#000000,10,Aptos</vt:lpwstr>
  </property>
  <property fmtid="{D5CDD505-2E9C-101B-9397-08002B2CF9AE}" pid="5" name="ClassificationContentMarkingFooterText">
    <vt:lpwstr>Confidential - Not for Public Consumption or Distribution</vt:lpwstr>
  </property>
  <property fmtid="{D5CDD505-2E9C-101B-9397-08002B2CF9AE}" pid="6" name="MSIP_Label_8e19d756-792e-42a1-bcad-4cb9051ddd2d_Enabled">
    <vt:lpwstr>true</vt:lpwstr>
  </property>
  <property fmtid="{D5CDD505-2E9C-101B-9397-08002B2CF9AE}" pid="7" name="MSIP_Label_8e19d756-792e-42a1-bcad-4cb9051ddd2d_SetDate">
    <vt:lpwstr>2026-03-11T15:40:25Z</vt:lpwstr>
  </property>
  <property fmtid="{D5CDD505-2E9C-101B-9397-08002B2CF9AE}" pid="8" name="MSIP_Label_8e19d756-792e-42a1-bcad-4cb9051ddd2d_Method">
    <vt:lpwstr>Standard</vt:lpwstr>
  </property>
  <property fmtid="{D5CDD505-2E9C-101B-9397-08002B2CF9AE}" pid="9" name="MSIP_Label_8e19d756-792e-42a1-bcad-4cb9051ddd2d_Name">
    <vt:lpwstr>Confidential</vt:lpwstr>
  </property>
  <property fmtid="{D5CDD505-2E9C-101B-9397-08002B2CF9AE}" pid="10" name="MSIP_Label_8e19d756-792e-42a1-bcad-4cb9051ddd2d_SiteId">
    <vt:lpwstr>41eb501a-f671-4ce0-a5bf-b64168c3705f</vt:lpwstr>
  </property>
  <property fmtid="{D5CDD505-2E9C-101B-9397-08002B2CF9AE}" pid="11" name="MSIP_Label_8e19d756-792e-42a1-bcad-4cb9051ddd2d_ActionId">
    <vt:lpwstr>e6be9ab2-3f45-4196-b1af-f0aa3e5eca14</vt:lpwstr>
  </property>
  <property fmtid="{D5CDD505-2E9C-101B-9397-08002B2CF9AE}" pid="12" name="MSIP_Label_8e19d756-792e-42a1-bcad-4cb9051ddd2d_ContentBits">
    <vt:lpwstr>2</vt:lpwstr>
  </property>
  <property fmtid="{D5CDD505-2E9C-101B-9397-08002B2CF9AE}" pid="13" name="MSIP_Label_8e19d756-792e-42a1-bcad-4cb9051ddd2d_Tag">
    <vt:lpwstr>10, 3, 0, 1</vt:lpwstr>
  </property>
</Properties>
</file>