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0CA8F641" w:rsidR="00DD5137" w:rsidRPr="00DD5137" w:rsidRDefault="004B3505" w:rsidP="00747057">
      <w:pPr>
        <w:spacing w:before="40" w:after="24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747057">
        <w:rPr>
          <w:rFonts w:ascii="Arial" w:hAnsi="Arial" w:cs="Arial"/>
          <w:b/>
          <w:bCs/>
          <w:i/>
          <w:color w:val="000000" w:themeColor="text1"/>
          <w:sz w:val="22"/>
          <w:szCs w:val="22"/>
          <w:u w:val="single"/>
        </w:rPr>
        <w:t>Acthar</w:t>
      </w:r>
      <w:r w:rsidR="007E1F7B" w:rsidRPr="00747057">
        <w:rPr>
          <w:rFonts w:ascii="Arial" w:hAnsi="Arial" w:cs="Arial"/>
          <w:b/>
          <w:bCs/>
          <w:i/>
          <w:color w:val="000000" w:themeColor="text1"/>
          <w:sz w:val="22"/>
          <w:szCs w:val="22"/>
          <w:u w:val="single"/>
          <w:vertAlign w:val="superscript"/>
        </w:rPr>
        <w:t>®</w:t>
      </w:r>
      <w:r w:rsidR="007E1F7B" w:rsidRPr="00747057">
        <w:rPr>
          <w:rFonts w:ascii="Arial" w:hAnsi="Arial" w:cs="Arial"/>
          <w:b/>
          <w:bCs/>
          <w:i/>
          <w:color w:val="000000" w:themeColor="text1"/>
          <w:sz w:val="22"/>
          <w:szCs w:val="22"/>
          <w:u w:val="single"/>
        </w:rPr>
        <w:t xml:space="preserve"> Gel (repository corticotropin injection)</w:t>
      </w:r>
      <w:bookmarkEnd w:id="0"/>
      <w:r w:rsidR="00747057" w:rsidRPr="00747057">
        <w:rPr>
          <w:rFonts w:ascii="Arial" w:hAnsi="Arial" w:cs="Arial"/>
          <w:b/>
          <w:bCs/>
          <w:i/>
          <w:color w:val="000000" w:themeColor="text1"/>
          <w:sz w:val="22"/>
          <w:szCs w:val="22"/>
          <w:u w:val="single"/>
        </w:rPr>
        <w:t xml:space="preserve"> for the treatment of proteinuria due to primary FSGS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126AD339" w14:textId="77777777" w:rsidR="00747057" w:rsidRPr="00DD5137" w:rsidRDefault="00747057" w:rsidP="00747057">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All copy in blue, italics, or brackets should be tailored specifically to your patient or deleted if irrelevant</w:t>
      </w:r>
    </w:p>
    <w:p w14:paraId="2735FB23" w14:textId="77777777" w:rsidR="00747057" w:rsidRDefault="00747057" w:rsidP="00747057">
      <w:pPr>
        <w:pStyle w:val="ListParagraph"/>
        <w:numPr>
          <w:ilvl w:val="0"/>
          <w:numId w:val="3"/>
        </w:numPr>
        <w:spacing w:before="40" w:after="0" w:line="240" w:lineRule="auto"/>
        <w:contextualSpacing w:val="0"/>
        <w:rPr>
          <w:rFonts w:ascii="Arial" w:hAnsi="Arial" w:cs="Arial"/>
          <w:i/>
          <w:color w:val="000000" w:themeColor="text1"/>
        </w:rPr>
      </w:pPr>
      <w:r w:rsidRPr="00DD5137">
        <w:rPr>
          <w:rFonts w:ascii="Arial" w:hAnsi="Arial" w:cs="Arial"/>
          <w:i/>
          <w:color w:val="000000" w:themeColor="text1"/>
        </w:rPr>
        <w:t>LMNs are best received when placed on medical practice letterhead</w:t>
      </w:r>
    </w:p>
    <w:p w14:paraId="5CF047DA" w14:textId="77777777" w:rsidR="00747057" w:rsidRDefault="00747057" w:rsidP="00747057">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0163BF" w14:textId="77777777" w:rsidR="00747057" w:rsidRDefault="00747057" w:rsidP="00747057">
      <w:pPr>
        <w:pStyle w:val="ListParagraph"/>
        <w:numPr>
          <w:ilvl w:val="0"/>
          <w:numId w:val="3"/>
        </w:numPr>
        <w:spacing w:before="40" w:after="24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43FDD2C4"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5428EC">
        <w:rPr>
          <w:rFonts w:ascii="Arial" w:eastAsia="Times New Roman" w:hAnsi="Arial" w:cs="Arial"/>
          <w:color w:val="000000"/>
        </w:rPr>
        <w:t>to induce a diuresis or a remission of proteinuria in nephrotic syndrome without uremia of the idiopathic type or that due to lupus erythematosus</w:t>
      </w:r>
      <w:r w:rsidR="00DF78DC">
        <w:rPr>
          <w:rFonts w:ascii="Arial" w:eastAsia="Times New Roman" w:hAnsi="Arial" w:cs="Arial"/>
          <w:color w:val="000000"/>
        </w:rPr>
        <w:t>.</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F01A9F">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66FAB11E" w14:textId="5B8D5572" w:rsidR="00747057" w:rsidRDefault="00747057" w:rsidP="00747057">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ICD-10 code</w:t>
      </w:r>
      <w:r>
        <w:rPr>
          <w:rFonts w:ascii="Arial" w:eastAsiaTheme="minorHAnsi" w:hAnsi="Arial" w:cs="Arial"/>
          <w:color w:val="00B0F0"/>
        </w:rPr>
        <w:t>s</w:t>
      </w:r>
      <w:r w:rsidRPr="00CD55FD">
        <w:rPr>
          <w:rFonts w:ascii="Arial" w:eastAsiaTheme="minorHAnsi" w:hAnsi="Arial" w:cs="Arial"/>
          <w:color w:val="00B0F0"/>
        </w:rPr>
        <w:t xml:space="preserve"> for </w:t>
      </w:r>
      <w:r>
        <w:rPr>
          <w:rFonts w:ascii="Arial" w:eastAsiaTheme="minorHAnsi" w:hAnsi="Arial" w:cs="Arial"/>
          <w:color w:val="00B0F0"/>
        </w:rPr>
        <w:t xml:space="preserve">proteinuria due to </w:t>
      </w:r>
      <w:r w:rsidRPr="00CD55FD">
        <w:rPr>
          <w:rFonts w:ascii="Arial" w:eastAsiaTheme="minorHAnsi" w:hAnsi="Arial" w:cs="Arial"/>
          <w:color w:val="00B0F0"/>
        </w:rPr>
        <w:t xml:space="preserve">primary </w:t>
      </w:r>
      <w:r>
        <w:rPr>
          <w:rFonts w:ascii="Arial" w:eastAsiaTheme="minorHAnsi" w:hAnsi="Arial" w:cs="Arial"/>
          <w:color w:val="00B0F0"/>
        </w:rPr>
        <w:t>FSGS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3A69C582" w14:textId="77777777" w:rsidR="00747057" w:rsidRPr="004E4D0F" w:rsidRDefault="00747057" w:rsidP="00747057">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06CADE80" w14:textId="75AFF3DB" w:rsidR="00747057" w:rsidRPr="008D7644" w:rsidRDefault="00747057" w:rsidP="00747057">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 xml:space="preserve">proteinuria due to </w:t>
      </w:r>
      <w:r w:rsidRPr="009B147F">
        <w:rPr>
          <w:rFonts w:ascii="Arial" w:eastAsiaTheme="minorHAnsi" w:hAnsi="Arial" w:cs="Arial"/>
          <w:color w:val="00B0F0"/>
        </w:rPr>
        <w:t xml:space="preserve">primary </w:t>
      </w:r>
      <w:r>
        <w:rPr>
          <w:rFonts w:ascii="Arial" w:eastAsiaTheme="minorHAnsi" w:hAnsi="Arial" w:cs="Arial"/>
          <w:color w:val="00B0F0"/>
        </w:rPr>
        <w:t>FSGS</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2FC698E9" w14:textId="77777777" w:rsidR="00747057" w:rsidRPr="004E4D0F" w:rsidRDefault="00747057" w:rsidP="00747057">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70E4F643" w14:textId="77777777" w:rsidR="00747057" w:rsidRPr="008D7644" w:rsidRDefault="00747057" w:rsidP="00747057">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rituximab, cyclosporine, cyclophosphamide, tacrolimus, MMF, diuretics);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the treatment name, duration (start and end date), frequency, dosage(s), and outcome(s). In addition, list any medical events or tests that occurred during treatment (e.g., hospitalizations, biopsies, labs, including proteinuria, hypoalbuminemia, edema, ACE level),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1AC85D75" w14:textId="77777777" w:rsidR="00747057" w:rsidRPr="004E4D0F" w:rsidRDefault="00747057" w:rsidP="00747057">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13B60163" w14:textId="77777777" w:rsidR="00747057" w:rsidRPr="008D7644" w:rsidRDefault="00747057" w:rsidP="00747057">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65FE058A" w14:textId="77777777" w:rsidR="00C20850" w:rsidRPr="004E4D0F" w:rsidRDefault="00C20850" w:rsidP="00C20850">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5D2768DB"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4AA2C9D3" w:rsidR="0064503F"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62257326" w14:textId="77777777" w:rsidR="0064503F" w:rsidRDefault="0064503F">
      <w:pPr>
        <w:spacing w:after="160" w:line="259" w:lineRule="auto"/>
        <w:rPr>
          <w:rFonts w:ascii="Arial" w:eastAsiaTheme="minorHAnsi" w:hAnsi="Arial" w:cs="Arial"/>
          <w:color w:val="00B1F1"/>
        </w:rPr>
      </w:pPr>
      <w:r>
        <w:rPr>
          <w:rFonts w:ascii="Arial" w:eastAsiaTheme="minorHAnsi" w:hAnsi="Arial" w:cs="Arial"/>
          <w:color w:val="00B1F1"/>
        </w:rPr>
        <w:br w:type="page"/>
      </w:r>
    </w:p>
    <w:p w14:paraId="21E1EB7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56337B83" w14:textId="1F5BB972" w:rsidR="00C20850" w:rsidRPr="00E303FC" w:rsidRDefault="009F73BE" w:rsidP="00E303FC">
      <w:pPr>
        <w:spacing w:after="120"/>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47EBFCBC" w14:textId="0269C1CF" w:rsidR="000E0C54" w:rsidRDefault="000E0C54" w:rsidP="00E303FC">
      <w:pPr>
        <w:pStyle w:val="Heading1"/>
        <w:shd w:val="clear" w:color="auto" w:fill="FFFFFF"/>
        <w:spacing w:before="0" w:beforeAutospacing="0" w:after="12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Multicenter Retrospective Case Series with Patients Treated with Acthar Gel Across Several Nephrotic Syndrome Etiologies (Madan)</w:t>
      </w:r>
      <w:r w:rsidR="00CB58C2">
        <w:rPr>
          <w:rStyle w:val="Hyperlink"/>
          <w:rFonts w:ascii="Arial" w:hAnsi="Arial" w:cs="Arial"/>
          <w:color w:val="auto"/>
          <w:kern w:val="0"/>
          <w:sz w:val="22"/>
          <w:szCs w:val="22"/>
          <w:u w:val="none"/>
        </w:rPr>
        <w:t>:</w:t>
      </w:r>
      <w:r>
        <w:rPr>
          <w:rStyle w:val="Hyperlink"/>
          <w:rFonts w:ascii="Arial" w:hAnsi="Arial" w:cs="Arial"/>
          <w:color w:val="auto"/>
          <w:kern w:val="0"/>
          <w:sz w:val="22"/>
          <w:szCs w:val="22"/>
          <w:u w:val="none"/>
        </w:rPr>
        <w:t xml:space="preserve"> </w:t>
      </w:r>
      <w:hyperlink r:id="rId12" w:history="1">
        <w:r w:rsidRPr="000E0C54">
          <w:rPr>
            <w:rStyle w:val="Hyperlink"/>
            <w:rFonts w:ascii="Arial" w:hAnsi="Arial" w:cs="Arial"/>
            <w:b w:val="0"/>
            <w:bCs w:val="0"/>
            <w:i/>
            <w:iCs/>
            <w:kern w:val="0"/>
            <w:sz w:val="22"/>
            <w:szCs w:val="22"/>
          </w:rPr>
          <w:t>Acthar Gel in the Treatment of Nephrotic Syndrome: A Multicenter Retrospective Case Series</w:t>
        </w:r>
      </w:hyperlink>
    </w:p>
    <w:p w14:paraId="6F3F30B7" w14:textId="2E3CD9DF" w:rsidR="000E0C54" w:rsidRDefault="000E0C54" w:rsidP="00E303FC">
      <w:pPr>
        <w:pStyle w:val="Heading1"/>
        <w:shd w:val="clear" w:color="auto" w:fill="FFFFFF"/>
        <w:spacing w:before="0" w:beforeAutospacing="0" w:after="12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 xml:space="preserve">Retrospective Study in Patients with FSGS Who Received Acthar Gel as First Line or Subsequent Therapy (Filippone): </w:t>
      </w:r>
      <w:hyperlink r:id="rId13" w:history="1">
        <w:r w:rsidRPr="000E0C54">
          <w:rPr>
            <w:rStyle w:val="Hyperlink"/>
            <w:rFonts w:ascii="Arial" w:hAnsi="Arial" w:cs="Arial"/>
            <w:b w:val="0"/>
            <w:bCs w:val="0"/>
            <w:i/>
            <w:iCs/>
            <w:kern w:val="0"/>
            <w:sz w:val="22"/>
            <w:szCs w:val="22"/>
          </w:rPr>
          <w:t>Adrenocorticotropic Hormone Analog Use for Podocytopathies</w:t>
        </w:r>
      </w:hyperlink>
    </w:p>
    <w:p w14:paraId="56F5710F" w14:textId="5CBF1DF1" w:rsidR="00E303FC" w:rsidRDefault="00E303FC" w:rsidP="005428EC">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0C38AED6">
                <wp:simplePos x="0" y="0"/>
                <wp:positionH relativeFrom="margin">
                  <wp:posOffset>-47625</wp:posOffset>
                </wp:positionH>
                <wp:positionV relativeFrom="paragraph">
                  <wp:posOffset>90170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7BC1" id="Rectangle 1" o:spid="_x0000_s1026" style="position:absolute;margin-left:-3.75pt;margin-top:7.1pt;width:54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" filled="f" strokecolor="black [3213]" strokeweight="1.5pt">
                <w10:wrap anchorx="margin"/>
              </v:rect>
            </w:pict>
          </mc:Fallback>
        </mc:AlternateContent>
      </w:r>
    </w:p>
    <w:p w14:paraId="176CE258" w14:textId="2D72693B" w:rsidR="005428EC" w:rsidRPr="009941D0" w:rsidRDefault="005428EC" w:rsidP="005428EC">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attributable to Acthar Gel.</w:t>
      </w:r>
    </w:p>
    <w:p w14:paraId="207F93EA" w14:textId="77777777" w:rsidR="005428EC" w:rsidRDefault="005428EC" w:rsidP="00793967">
      <w:pPr>
        <w:tabs>
          <w:tab w:val="left" w:pos="2344"/>
        </w:tabs>
        <w:spacing w:after="120"/>
        <w:rPr>
          <w:rFonts w:ascii="Arial" w:hAnsi="Arial" w:cs="Arial"/>
          <w:sz w:val="22"/>
          <w:szCs w:val="22"/>
          <w:u w:val="single"/>
        </w:rPr>
      </w:pPr>
    </w:p>
    <w:p w14:paraId="5A05BC68" w14:textId="035E686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313DF48E" w14:textId="0F8850C3" w:rsidR="00197D5C" w:rsidRDefault="00793967" w:rsidP="00197D5C">
      <w:pPr>
        <w:pStyle w:val="ListParagraph"/>
        <w:numPr>
          <w:ilvl w:val="1"/>
          <w:numId w:val="4"/>
        </w:numPr>
        <w:spacing w:after="240" w:line="257" w:lineRule="auto"/>
        <w:rPr>
          <w:rFonts w:ascii="Arial" w:hAnsi="Arial" w:cs="Arial"/>
        </w:rPr>
      </w:pPr>
      <w:r w:rsidRPr="000E5EE1">
        <w:rPr>
          <w:rFonts w:ascii="Arial" w:hAnsi="Arial" w:cs="Arial"/>
        </w:rPr>
        <w:t>Acthar</w:t>
      </w:r>
      <w:r w:rsidRPr="003144E6">
        <w:rPr>
          <w:rFonts w:ascii="Arial" w:hAnsi="Arial" w:cs="Arial"/>
          <w:vertAlign w:val="superscript"/>
        </w:rPr>
        <w:t>®</w:t>
      </w:r>
      <w:r w:rsidRPr="000E5EE1">
        <w:rPr>
          <w:rFonts w:ascii="Arial" w:hAnsi="Arial" w:cs="Arial"/>
        </w:rPr>
        <w:t xml:space="preserve"> Gel (repository corticotropin injection) is </w:t>
      </w:r>
      <w:r w:rsidR="00197D5C">
        <w:rPr>
          <w:rFonts w:ascii="Arial" w:hAnsi="Arial" w:cs="Arial"/>
        </w:rPr>
        <w:t xml:space="preserve">indicated </w:t>
      </w:r>
      <w:r w:rsidR="005428EC">
        <w:rPr>
          <w:rFonts w:ascii="Arial" w:hAnsi="Arial" w:cs="Arial"/>
        </w:rPr>
        <w:t>to induce a diuresis or a remission of proteinuria in nephrotic syndrome without uremia of the idiopathic type or that due to lupus erythematosus</w:t>
      </w:r>
      <w:r w:rsidR="00197D5C" w:rsidRPr="00197D5C">
        <w:rPr>
          <w:rFonts w:ascii="Arial" w:hAnsi="Arial" w:cs="Arial"/>
        </w:rPr>
        <w:t>.</w:t>
      </w:r>
      <w:r w:rsidRPr="00197D5C">
        <w:rPr>
          <w:rFonts w:ascii="Arial" w:hAnsi="Arial" w:cs="Arial"/>
          <w:vertAlign w:val="superscript"/>
        </w:rPr>
        <w:t>1</w:t>
      </w:r>
    </w:p>
    <w:p w14:paraId="465C06B3" w14:textId="77777777" w:rsidR="00197D5C" w:rsidRPr="00197D5C" w:rsidRDefault="00197D5C" w:rsidP="00197D5C">
      <w:pPr>
        <w:pStyle w:val="ListParagraph"/>
        <w:spacing w:after="240" w:line="257" w:lineRule="auto"/>
        <w:rPr>
          <w:rFonts w:ascii="Arial" w:hAnsi="Arial" w:cs="Arial"/>
        </w:rPr>
      </w:pPr>
    </w:p>
    <w:p w14:paraId="0654BB62" w14:textId="77777777" w:rsidR="00747057" w:rsidRPr="00393812" w:rsidRDefault="00747057" w:rsidP="00747057">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1E1D350B" w14:textId="5F8A91AC" w:rsidR="005428EC" w:rsidRPr="005428EC" w:rsidRDefault="00793967" w:rsidP="00793967">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67AB1F9A" w14:textId="77777777" w:rsidR="005428EC" w:rsidRDefault="005428EC" w:rsidP="00793967">
      <w:pPr>
        <w:rPr>
          <w:rFonts w:ascii="Arial" w:hAnsi="Arial" w:cs="Arial"/>
          <w:b/>
          <w:sz w:val="18"/>
          <w:szCs w:val="18"/>
        </w:rPr>
      </w:pPr>
    </w:p>
    <w:p w14:paraId="503A93E5" w14:textId="0E36A165" w:rsidR="00747057" w:rsidRDefault="00747057" w:rsidP="00747057">
      <w:pPr>
        <w:autoSpaceDE w:val="0"/>
        <w:autoSpaceDN w:val="0"/>
        <w:adjustRightInd w:val="0"/>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 xml:space="preserve">Acthar® Gel (repository corticotropin injection) [prescribing information]. </w:t>
      </w:r>
      <w:r w:rsidR="00AC6E75">
        <w:rPr>
          <w:rFonts w:ascii="Arial" w:hAnsi="Arial" w:cs="Arial"/>
          <w:sz w:val="18"/>
          <w:szCs w:val="18"/>
        </w:rPr>
        <w:t>Bridgewater</w:t>
      </w:r>
      <w:r>
        <w:rPr>
          <w:rFonts w:ascii="Arial" w:hAnsi="Arial" w:cs="Arial"/>
          <w:sz w:val="18"/>
          <w:szCs w:val="18"/>
        </w:rPr>
        <w:t>, NJ: Mallinckrodt Pharmaceuticals.</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Sunyer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J Neuroimmuno</w:t>
      </w:r>
      <w:r>
        <w:rPr>
          <w:rFonts w:ascii="Arial" w:hAnsi="Arial" w:cs="Arial"/>
          <w:i/>
          <w:iCs/>
          <w:sz w:val="18"/>
          <w:szCs w:val="18"/>
        </w:rPr>
        <w:t>l</w:t>
      </w:r>
      <w:r>
        <w:rPr>
          <w:rFonts w:ascii="Arial" w:hAnsi="Arial" w:cs="Arial"/>
          <w:sz w:val="18"/>
          <w:szCs w:val="18"/>
        </w:rPr>
        <w:t>. 2021;353:577522.</w:t>
      </w:r>
    </w:p>
    <w:p w14:paraId="4D65D1C1" w14:textId="77777777" w:rsidR="00E303FC" w:rsidRDefault="00E303FC" w:rsidP="00E303FC">
      <w:pPr>
        <w:autoSpaceDE w:val="0"/>
        <w:autoSpaceDN w:val="0"/>
        <w:adjustRightInd w:val="0"/>
        <w:rPr>
          <w:rFonts w:ascii="Arial" w:hAnsi="Arial" w:cs="Arial"/>
          <w:b/>
          <w:i/>
          <w:color w:val="000000" w:themeColor="text1"/>
          <w:sz w:val="22"/>
          <w:szCs w:val="22"/>
        </w:rPr>
      </w:pPr>
    </w:p>
    <w:p w14:paraId="6CA40F1B" w14:textId="183BE8FC"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662A9904" w14:textId="77777777" w:rsidR="0090462E" w:rsidRPr="00793967" w:rsidRDefault="0090462E" w:rsidP="00793967">
      <w:pPr>
        <w:pStyle w:val="ListParagraph"/>
        <w:autoSpaceDE w:val="0"/>
        <w:autoSpaceDN w:val="0"/>
        <w:adjustRightInd w:val="0"/>
        <w:jc w:val="center"/>
        <w:rPr>
          <w:rFonts w:ascii="Arial" w:hAnsi="Arial" w:cs="Arial"/>
          <w:b/>
          <w:i/>
          <w:color w:val="000000" w:themeColor="text1"/>
        </w:rPr>
      </w:pPr>
    </w:p>
    <w:p w14:paraId="63829023" w14:textId="02668525"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w:t>
      </w:r>
      <w:r w:rsidR="009B4EE0">
        <w:rPr>
          <w:rFonts w:ascii="Arial" w:hAnsi="Arial" w:cs="Arial"/>
          <w:color w:val="353535"/>
          <w:sz w:val="16"/>
          <w:szCs w:val="16"/>
        </w:rPr>
        <w:t>7</w:t>
      </w:r>
      <w:r w:rsidRPr="00997CB7">
        <w:rPr>
          <w:rFonts w:ascii="Arial" w:hAnsi="Arial" w:cs="Arial"/>
          <w:sz w:val="16"/>
          <w:szCs w:val="16"/>
        </w:rPr>
        <w:t xml:space="preserve"> </w:t>
      </w:r>
      <w:r>
        <w:rPr>
          <w:rFonts w:ascii="Arial" w:hAnsi="Arial" w:cs="Arial"/>
          <w:color w:val="353535"/>
          <w:sz w:val="16"/>
          <w:szCs w:val="16"/>
        </w:rPr>
        <w:t>0</w:t>
      </w:r>
      <w:r w:rsidR="00747057">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4"/>
      <w:footerReference w:type="first" r:id="rId15"/>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477B"/>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0C54"/>
    <w:rsid w:val="000E38F2"/>
    <w:rsid w:val="000E44D5"/>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82CB6"/>
    <w:rsid w:val="00190602"/>
    <w:rsid w:val="0019405F"/>
    <w:rsid w:val="00195381"/>
    <w:rsid w:val="00195912"/>
    <w:rsid w:val="00195FE8"/>
    <w:rsid w:val="00196F18"/>
    <w:rsid w:val="00197187"/>
    <w:rsid w:val="00197D5C"/>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237C"/>
    <w:rsid w:val="002C1A8D"/>
    <w:rsid w:val="002C4A24"/>
    <w:rsid w:val="002C4C7D"/>
    <w:rsid w:val="002C5EB2"/>
    <w:rsid w:val="002D0A3D"/>
    <w:rsid w:val="002D1AF3"/>
    <w:rsid w:val="002D20D7"/>
    <w:rsid w:val="002D41CC"/>
    <w:rsid w:val="002D428E"/>
    <w:rsid w:val="002E5FDA"/>
    <w:rsid w:val="002E753B"/>
    <w:rsid w:val="002F1934"/>
    <w:rsid w:val="002F6BF0"/>
    <w:rsid w:val="00300B77"/>
    <w:rsid w:val="003026BB"/>
    <w:rsid w:val="003120C9"/>
    <w:rsid w:val="003134D0"/>
    <w:rsid w:val="003144E6"/>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8748F"/>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E6EED"/>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28EC"/>
    <w:rsid w:val="005444BE"/>
    <w:rsid w:val="0055367E"/>
    <w:rsid w:val="005636D6"/>
    <w:rsid w:val="00565566"/>
    <w:rsid w:val="00573DDF"/>
    <w:rsid w:val="00581434"/>
    <w:rsid w:val="00584764"/>
    <w:rsid w:val="00585AE0"/>
    <w:rsid w:val="00590762"/>
    <w:rsid w:val="005933F4"/>
    <w:rsid w:val="005944A8"/>
    <w:rsid w:val="00596C0E"/>
    <w:rsid w:val="005A0CB8"/>
    <w:rsid w:val="005C29D7"/>
    <w:rsid w:val="005D3181"/>
    <w:rsid w:val="005D4D6D"/>
    <w:rsid w:val="005D5FF9"/>
    <w:rsid w:val="005D74AB"/>
    <w:rsid w:val="005E1338"/>
    <w:rsid w:val="005F3C87"/>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4503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B6C6E"/>
    <w:rsid w:val="006C0C3E"/>
    <w:rsid w:val="006C2759"/>
    <w:rsid w:val="006D2822"/>
    <w:rsid w:val="006D3F64"/>
    <w:rsid w:val="006D6CE4"/>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47057"/>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25A6"/>
    <w:rsid w:val="008E4F78"/>
    <w:rsid w:val="008E6041"/>
    <w:rsid w:val="008F1E6F"/>
    <w:rsid w:val="008F62D2"/>
    <w:rsid w:val="008F7C2B"/>
    <w:rsid w:val="00900F85"/>
    <w:rsid w:val="009029B6"/>
    <w:rsid w:val="00902F0F"/>
    <w:rsid w:val="009041B3"/>
    <w:rsid w:val="0090462E"/>
    <w:rsid w:val="009053AE"/>
    <w:rsid w:val="009071B6"/>
    <w:rsid w:val="0091022C"/>
    <w:rsid w:val="00911408"/>
    <w:rsid w:val="00920021"/>
    <w:rsid w:val="00922593"/>
    <w:rsid w:val="00922AC2"/>
    <w:rsid w:val="009327D1"/>
    <w:rsid w:val="0094027F"/>
    <w:rsid w:val="00942937"/>
    <w:rsid w:val="009460E2"/>
    <w:rsid w:val="00946899"/>
    <w:rsid w:val="00953624"/>
    <w:rsid w:val="00966630"/>
    <w:rsid w:val="00970876"/>
    <w:rsid w:val="009756DD"/>
    <w:rsid w:val="00982C19"/>
    <w:rsid w:val="00984C62"/>
    <w:rsid w:val="00991A46"/>
    <w:rsid w:val="009941D0"/>
    <w:rsid w:val="009967B0"/>
    <w:rsid w:val="00997CB7"/>
    <w:rsid w:val="009A01BC"/>
    <w:rsid w:val="009A49B3"/>
    <w:rsid w:val="009A7DC4"/>
    <w:rsid w:val="009B2B00"/>
    <w:rsid w:val="009B4EE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2CE6"/>
    <w:rsid w:val="00A93EBD"/>
    <w:rsid w:val="00A96AB3"/>
    <w:rsid w:val="00A97D0E"/>
    <w:rsid w:val="00AA3E33"/>
    <w:rsid w:val="00AA6D29"/>
    <w:rsid w:val="00AB2652"/>
    <w:rsid w:val="00AB3A9A"/>
    <w:rsid w:val="00AB430D"/>
    <w:rsid w:val="00AB50A5"/>
    <w:rsid w:val="00AB5748"/>
    <w:rsid w:val="00AB7987"/>
    <w:rsid w:val="00AC41C0"/>
    <w:rsid w:val="00AC578E"/>
    <w:rsid w:val="00AC6E75"/>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350A7"/>
    <w:rsid w:val="00C46891"/>
    <w:rsid w:val="00C703BB"/>
    <w:rsid w:val="00C72B11"/>
    <w:rsid w:val="00C76486"/>
    <w:rsid w:val="00C80191"/>
    <w:rsid w:val="00C81AE3"/>
    <w:rsid w:val="00C82BC2"/>
    <w:rsid w:val="00C832BD"/>
    <w:rsid w:val="00C83E52"/>
    <w:rsid w:val="00C877D0"/>
    <w:rsid w:val="00C90684"/>
    <w:rsid w:val="00C90C1B"/>
    <w:rsid w:val="00C92A51"/>
    <w:rsid w:val="00C963E2"/>
    <w:rsid w:val="00C96736"/>
    <w:rsid w:val="00CA4524"/>
    <w:rsid w:val="00CB371C"/>
    <w:rsid w:val="00CB58C2"/>
    <w:rsid w:val="00CB77E8"/>
    <w:rsid w:val="00CC2E74"/>
    <w:rsid w:val="00CC44FD"/>
    <w:rsid w:val="00CC47D5"/>
    <w:rsid w:val="00CC712E"/>
    <w:rsid w:val="00CD17C6"/>
    <w:rsid w:val="00CD55FD"/>
    <w:rsid w:val="00CF40A7"/>
    <w:rsid w:val="00CF5123"/>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DF78DC"/>
    <w:rsid w:val="00E04B2E"/>
    <w:rsid w:val="00E140B3"/>
    <w:rsid w:val="00E14A26"/>
    <w:rsid w:val="00E14E86"/>
    <w:rsid w:val="00E154ED"/>
    <w:rsid w:val="00E20A50"/>
    <w:rsid w:val="00E303FC"/>
    <w:rsid w:val="00E323E9"/>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A3918"/>
    <w:rsid w:val="00EB139F"/>
    <w:rsid w:val="00EB3325"/>
    <w:rsid w:val="00EC1C3B"/>
    <w:rsid w:val="00EC46BF"/>
    <w:rsid w:val="00EC4A8F"/>
    <w:rsid w:val="00ED07BC"/>
    <w:rsid w:val="00ED4C38"/>
    <w:rsid w:val="00EE05A1"/>
    <w:rsid w:val="00EE7755"/>
    <w:rsid w:val="00EE7AE3"/>
    <w:rsid w:val="00EF0C30"/>
    <w:rsid w:val="00F01A9F"/>
    <w:rsid w:val="00F026B4"/>
    <w:rsid w:val="00F044F9"/>
    <w:rsid w:val="00F1032A"/>
    <w:rsid w:val="00F16E40"/>
    <w:rsid w:val="00F26650"/>
    <w:rsid w:val="00F30FB4"/>
    <w:rsid w:val="00F32D80"/>
    <w:rsid w:val="00F35688"/>
    <w:rsid w:val="00F42307"/>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4935005/pdf/imcrj-9-1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mcnephrol.biomedcentral.com/counter/pdf/10.1186/s12882-016-024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2.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3.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3</cp:revision>
  <cp:lastPrinted>2022-03-03T01:33:00Z</cp:lastPrinted>
  <dcterms:created xsi:type="dcterms:W3CDTF">2024-05-21T17:27:00Z</dcterms:created>
  <dcterms:modified xsi:type="dcterms:W3CDTF">2024-05-21T17:28:00Z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